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9F8DA" w14:textId="77777777" w:rsidR="004B42BA" w:rsidRPr="007A5DA6" w:rsidRDefault="004B42BA" w:rsidP="004B42BA">
      <w:pPr>
        <w:spacing w:line="360" w:lineRule="auto"/>
        <w:jc w:val="right"/>
        <w:rPr>
          <w:rFonts w:ascii="Times New Roman" w:eastAsia="Times New Roman" w:hAnsi="Times New Roman" w:cs="Times New Roman"/>
          <w:i/>
          <w:u w:val="single"/>
        </w:rPr>
      </w:pPr>
      <w:r w:rsidRPr="007A5DA6">
        <w:rPr>
          <w:rFonts w:ascii="Times New Roman" w:eastAsia="Times New Roman" w:hAnsi="Times New Roman" w:cs="Times New Roman"/>
          <w:i/>
          <w:u w:val="single"/>
        </w:rPr>
        <w:t>projekt</w:t>
      </w:r>
    </w:p>
    <w:p w14:paraId="0DDC6AD6" w14:textId="77777777" w:rsidR="004B42BA" w:rsidRPr="007A5DA6" w:rsidRDefault="004B42BA" w:rsidP="004B42BA">
      <w:pPr>
        <w:spacing w:line="360" w:lineRule="auto"/>
        <w:jc w:val="center"/>
        <w:rPr>
          <w:rFonts w:ascii="Times New Roman" w:eastAsia="Times New Roman" w:hAnsi="Times New Roman" w:cs="Times New Roman"/>
          <w:b/>
        </w:rPr>
      </w:pPr>
    </w:p>
    <w:p w14:paraId="5BFB4A97" w14:textId="77777777" w:rsidR="004B42BA" w:rsidRPr="007A5DA6" w:rsidRDefault="004B42BA" w:rsidP="002037CD">
      <w:pPr>
        <w:spacing w:line="360" w:lineRule="auto"/>
        <w:jc w:val="center"/>
        <w:rPr>
          <w:rFonts w:ascii="Times New Roman" w:eastAsia="Times New Roman" w:hAnsi="Times New Roman" w:cs="Times New Roman"/>
          <w:b/>
        </w:rPr>
      </w:pPr>
      <w:r w:rsidRPr="007A5DA6">
        <w:rPr>
          <w:rFonts w:ascii="Times New Roman" w:eastAsia="Times New Roman" w:hAnsi="Times New Roman" w:cs="Times New Roman"/>
          <w:b/>
        </w:rPr>
        <w:t>USTAWA</w:t>
      </w:r>
    </w:p>
    <w:p w14:paraId="526966B2" w14:textId="77777777" w:rsidR="004B42BA" w:rsidRPr="007A5DA6" w:rsidRDefault="004B42BA" w:rsidP="002037CD">
      <w:pPr>
        <w:spacing w:line="360" w:lineRule="auto"/>
        <w:jc w:val="center"/>
        <w:rPr>
          <w:rFonts w:ascii="Times New Roman" w:eastAsia="Times New Roman" w:hAnsi="Times New Roman" w:cs="Times New Roman"/>
        </w:rPr>
      </w:pPr>
      <w:r w:rsidRPr="007A5DA6">
        <w:rPr>
          <w:rFonts w:ascii="Times New Roman" w:eastAsia="Times New Roman" w:hAnsi="Times New Roman" w:cs="Times New Roman"/>
        </w:rPr>
        <w:t>z dnia … 2024 r.</w:t>
      </w:r>
    </w:p>
    <w:p w14:paraId="3095A91C" w14:textId="77777777" w:rsidR="004B42BA" w:rsidRPr="007A5DA6" w:rsidRDefault="004B42BA" w:rsidP="002037CD">
      <w:pPr>
        <w:spacing w:line="360" w:lineRule="auto"/>
        <w:jc w:val="center"/>
        <w:rPr>
          <w:rFonts w:ascii="Times New Roman" w:eastAsia="Times New Roman" w:hAnsi="Times New Roman" w:cs="Times New Roman"/>
          <w:b/>
        </w:rPr>
      </w:pPr>
      <w:r w:rsidRPr="007A5DA6">
        <w:rPr>
          <w:rFonts w:ascii="Times New Roman" w:eastAsia="Times New Roman" w:hAnsi="Times New Roman" w:cs="Times New Roman"/>
          <w:b/>
        </w:rPr>
        <w:t>o zmianie ustawy o podatku dochodowym od osób fizycznych</w:t>
      </w:r>
    </w:p>
    <w:p w14:paraId="788566F8" w14:textId="77777777" w:rsidR="004B42BA" w:rsidRPr="007A5DA6" w:rsidRDefault="004B42BA" w:rsidP="002037CD">
      <w:pPr>
        <w:spacing w:line="360" w:lineRule="auto"/>
        <w:jc w:val="both"/>
        <w:rPr>
          <w:rFonts w:ascii="Times New Roman" w:eastAsia="Times New Roman" w:hAnsi="Times New Roman" w:cs="Times New Roman"/>
          <w:b/>
        </w:rPr>
      </w:pPr>
    </w:p>
    <w:p w14:paraId="30CC2318" w14:textId="77777777" w:rsidR="004B42BA" w:rsidRPr="007A5DA6" w:rsidRDefault="004B42BA" w:rsidP="002037CD">
      <w:pPr>
        <w:spacing w:line="360" w:lineRule="auto"/>
        <w:ind w:firstLine="720"/>
        <w:jc w:val="both"/>
        <w:rPr>
          <w:rFonts w:ascii="Times New Roman" w:eastAsia="Times New Roman" w:hAnsi="Times New Roman" w:cs="Times New Roman"/>
        </w:rPr>
      </w:pPr>
      <w:r w:rsidRPr="007A5DA6">
        <w:rPr>
          <w:rFonts w:ascii="Times New Roman" w:eastAsia="Times New Roman" w:hAnsi="Times New Roman" w:cs="Times New Roman"/>
          <w:b/>
        </w:rPr>
        <w:t xml:space="preserve">Art. 1. </w:t>
      </w:r>
      <w:r w:rsidRPr="007A5DA6">
        <w:rPr>
          <w:rFonts w:ascii="Times New Roman" w:eastAsia="Times New Roman" w:hAnsi="Times New Roman" w:cs="Times New Roman"/>
        </w:rPr>
        <w:t xml:space="preserve">W ustawie z dnia 26 lipca 1991 r. o podatku dochodowym od osób fizycznych (t.j. Dz. U. z 2024 r. poz. 226 z późn. zm.) w art. 21 w ust. 1 pkt 40a otrzymuje brzmienie: </w:t>
      </w:r>
    </w:p>
    <w:p w14:paraId="226B11E2" w14:textId="77777777" w:rsidR="004B42BA" w:rsidRPr="007A5DA6" w:rsidRDefault="004B42BA" w:rsidP="002037CD">
      <w:pPr>
        <w:spacing w:line="360" w:lineRule="auto"/>
        <w:ind w:firstLine="720"/>
        <w:jc w:val="both"/>
        <w:rPr>
          <w:rFonts w:ascii="Times New Roman" w:eastAsia="Times New Roman" w:hAnsi="Times New Roman" w:cs="Times New Roman"/>
        </w:rPr>
      </w:pPr>
      <w:r w:rsidRPr="007A5DA6">
        <w:rPr>
          <w:rFonts w:ascii="Times New Roman" w:eastAsia="Times New Roman" w:hAnsi="Times New Roman" w:cs="Times New Roman"/>
        </w:rPr>
        <w:t>„40a) nagrody otrzymane od Polskiego Komitetu Olimpijskiego i Polskiego Komitetu Paralimpijskiego za uzyskanie wyników na igrzyskach olimpijskich i paralimpijskich oraz nagrody otrzymane od Polskiego Związku Sportu Niesłyszących i Stowarzyszenia Olimpiady Specjalne Polska za uzyskanie wyników na igrzyskach głuchych i światowych igrzyskach Olimpiad Specjalnych;”.</w:t>
      </w:r>
    </w:p>
    <w:p w14:paraId="0099CD7E" w14:textId="77777777" w:rsidR="004B42BA" w:rsidRPr="007A5DA6" w:rsidRDefault="004B42BA" w:rsidP="002037CD">
      <w:pPr>
        <w:spacing w:line="360" w:lineRule="auto"/>
        <w:ind w:firstLine="720"/>
        <w:jc w:val="both"/>
        <w:rPr>
          <w:rFonts w:ascii="Times New Roman" w:eastAsia="Times New Roman" w:hAnsi="Times New Roman" w:cs="Times New Roman"/>
          <w:b/>
          <w:bCs/>
        </w:rPr>
      </w:pPr>
    </w:p>
    <w:p w14:paraId="276D0BB4" w14:textId="77777777" w:rsidR="004B42BA" w:rsidRPr="007A5DA6" w:rsidRDefault="004B42BA" w:rsidP="002037CD">
      <w:pPr>
        <w:spacing w:line="360" w:lineRule="auto"/>
        <w:ind w:firstLine="720"/>
        <w:jc w:val="both"/>
        <w:rPr>
          <w:rFonts w:ascii="Times New Roman" w:eastAsia="Times New Roman" w:hAnsi="Times New Roman" w:cs="Times New Roman"/>
        </w:rPr>
      </w:pPr>
      <w:r w:rsidRPr="007A5DA6">
        <w:rPr>
          <w:rFonts w:ascii="Times New Roman" w:eastAsia="Times New Roman" w:hAnsi="Times New Roman" w:cs="Times New Roman"/>
          <w:b/>
          <w:bCs/>
        </w:rPr>
        <w:t>Art. 2.</w:t>
      </w:r>
      <w:r w:rsidRPr="007A5DA6">
        <w:rPr>
          <w:rFonts w:ascii="Times New Roman" w:eastAsia="Times New Roman" w:hAnsi="Times New Roman" w:cs="Times New Roman"/>
        </w:rPr>
        <w:t xml:space="preserve"> Ustawa wchodzi w życie z dniem 1 stycznia 2026 r. </w:t>
      </w:r>
    </w:p>
    <w:p w14:paraId="1D66C353" w14:textId="77777777" w:rsidR="004B42BA" w:rsidRPr="007A5DA6" w:rsidRDefault="004B42BA" w:rsidP="004B42BA">
      <w:pPr>
        <w:spacing w:line="360" w:lineRule="auto"/>
        <w:ind w:firstLine="720"/>
        <w:jc w:val="both"/>
        <w:rPr>
          <w:rFonts w:ascii="Times New Roman" w:eastAsia="Times New Roman" w:hAnsi="Times New Roman" w:cs="Times New Roman"/>
        </w:rPr>
      </w:pPr>
    </w:p>
    <w:p w14:paraId="0A5FF859" w14:textId="77777777" w:rsidR="004B42BA" w:rsidRPr="007A5DA6" w:rsidRDefault="004B42BA" w:rsidP="004B42BA">
      <w:pPr>
        <w:spacing w:line="360" w:lineRule="auto"/>
        <w:jc w:val="both"/>
        <w:rPr>
          <w:rFonts w:ascii="Times New Roman" w:eastAsia="Times New Roman" w:hAnsi="Times New Roman" w:cs="Times New Roman"/>
        </w:rPr>
      </w:pPr>
      <w:r w:rsidRPr="007A5DA6">
        <w:rPr>
          <w:rFonts w:ascii="Times New Roman" w:hAnsi="Times New Roman" w:cs="Times New Roman"/>
        </w:rPr>
        <w:br w:type="page"/>
      </w:r>
    </w:p>
    <w:p w14:paraId="1EC7181B" w14:textId="77777777" w:rsidR="004B42BA" w:rsidRPr="007A5DA6" w:rsidRDefault="004B42BA" w:rsidP="004B42BA">
      <w:pPr>
        <w:spacing w:line="360" w:lineRule="auto"/>
        <w:jc w:val="center"/>
        <w:rPr>
          <w:rFonts w:ascii="Times New Roman" w:eastAsia="Times New Roman" w:hAnsi="Times New Roman" w:cs="Times New Roman"/>
          <w:b/>
        </w:rPr>
      </w:pPr>
      <w:r w:rsidRPr="007A5DA6">
        <w:rPr>
          <w:rFonts w:ascii="Times New Roman" w:eastAsia="Times New Roman" w:hAnsi="Times New Roman" w:cs="Times New Roman"/>
          <w:b/>
        </w:rPr>
        <w:lastRenderedPageBreak/>
        <w:t>UZASADNIENIE</w:t>
      </w:r>
    </w:p>
    <w:p w14:paraId="56F4949E" w14:textId="77777777" w:rsidR="004B42BA" w:rsidRPr="007A5DA6" w:rsidRDefault="004B42BA" w:rsidP="004B42BA">
      <w:pPr>
        <w:widowControl w:val="0"/>
        <w:spacing w:line="360" w:lineRule="auto"/>
        <w:ind w:right="-15"/>
        <w:jc w:val="both"/>
        <w:rPr>
          <w:rFonts w:ascii="Times New Roman" w:eastAsia="Times New Roman" w:hAnsi="Times New Roman" w:cs="Times New Roman"/>
        </w:rPr>
      </w:pPr>
    </w:p>
    <w:p w14:paraId="7FF65A8F" w14:textId="3D94D85B" w:rsidR="004B42BA" w:rsidRPr="007A5DA6" w:rsidRDefault="004B42BA" w:rsidP="004B42BA">
      <w:pPr>
        <w:widowControl w:val="0"/>
        <w:spacing w:line="360" w:lineRule="auto"/>
        <w:ind w:right="-15" w:firstLine="720"/>
        <w:jc w:val="both"/>
        <w:rPr>
          <w:rFonts w:ascii="Times New Roman" w:eastAsia="Times New Roman" w:hAnsi="Times New Roman" w:cs="Times New Roman"/>
        </w:rPr>
      </w:pPr>
      <w:r w:rsidRPr="007A5DA6">
        <w:rPr>
          <w:rFonts w:ascii="Times New Roman" w:eastAsia="Times New Roman" w:hAnsi="Times New Roman" w:cs="Times New Roman"/>
        </w:rPr>
        <w:t xml:space="preserve">Nagrody pieniężne oraz rzeczowe przyznawane medalistom </w:t>
      </w:r>
      <w:r w:rsidR="002037CD" w:rsidRPr="007A5DA6">
        <w:rPr>
          <w:rFonts w:ascii="Times New Roman" w:eastAsia="Times New Roman" w:hAnsi="Times New Roman" w:cs="Times New Roman"/>
        </w:rPr>
        <w:t>międzynarodowych igrzysk</w:t>
      </w:r>
      <w:r w:rsidRPr="007A5DA6">
        <w:rPr>
          <w:rFonts w:ascii="Times New Roman" w:eastAsia="Times New Roman" w:hAnsi="Times New Roman" w:cs="Times New Roman"/>
        </w:rPr>
        <w:t xml:space="preserve"> stanowią formę uznania za ich wyjątkowe osiągnięcia sportowe oraz wysiłek włożony w reprezentowanie kraju na międzynarodowych zawodach sportowych. Po letnich Igrzyskach Olimpijskich w 2024 r. pojawiła się dyskusja o sposobie opodatkowania nagród finalistów Olimpiady, ponieważ zgodnie z art. 21 ust. 1 pkt 40a ustawy z dnia 26 lipca 1991 r. o podatku dochodowym od osób fizycznych (Dz. U. z 202</w:t>
      </w:r>
      <w:r w:rsidR="007A5DA6">
        <w:rPr>
          <w:rFonts w:ascii="Times New Roman" w:eastAsia="Times New Roman" w:hAnsi="Times New Roman" w:cs="Times New Roman"/>
        </w:rPr>
        <w:t>5</w:t>
      </w:r>
      <w:r w:rsidRPr="007A5DA6">
        <w:rPr>
          <w:rFonts w:ascii="Times New Roman" w:eastAsia="Times New Roman" w:hAnsi="Times New Roman" w:cs="Times New Roman"/>
        </w:rPr>
        <w:t xml:space="preserve"> r. poz. </w:t>
      </w:r>
      <w:r w:rsidR="007A5DA6">
        <w:rPr>
          <w:rFonts w:ascii="Times New Roman" w:eastAsia="Times New Roman" w:hAnsi="Times New Roman" w:cs="Times New Roman"/>
        </w:rPr>
        <w:t>163</w:t>
      </w:r>
      <w:r w:rsidRPr="007A5DA6">
        <w:rPr>
          <w:rFonts w:ascii="Times New Roman" w:eastAsia="Times New Roman" w:hAnsi="Times New Roman" w:cs="Times New Roman"/>
        </w:rPr>
        <w:t xml:space="preserve">) wolne od podatku dochodowego są tylko nagrody wypłacane przez Polski Komitet Olimpijski i Polski Komitet Paralimpijski za uzyskanie wyników na igrzyskach olimpijskich i paralimpijskich oraz nagrody wypłacane przez Polski Związek Sportu Niesłyszących za uzyskanie wyników na igrzyskach głuchych. Nagrody wypłacane sportowcom a te przekazane są, zgodnie z ustawą, różnie traktowane przez ustawodawcę. Szczególnie dziwi różne podejście ustawodawcy do rodzaju przekazanej nagrody przez ogólnopolskie stowarzyszenia związków i organizacji sportowych. Ustawodawca poprzez przywołany powyżej przepis zwalnia od podatku dochodowego wypłacone nagrody pieniężne, lecz nie zwalnia z takiego obciążenia nagrody rzeczowe przekazane przez określone ogólnopolskie związki organizacji sportowych. Użyte przez ustawodawcę w art. 21 w ust. 1 w pkt 40a określenie „wypłacane” nie pozostawia miejsce na interpretację rozszerzającą na nagrody rzeczowe, które przez ustawodawcę w oczywisty sposób wykluczył ze zwolnienia od podatku dochodowego ponieważ nie mieszczą się w dyspozycji przedstawionej powyżej normy. </w:t>
      </w:r>
    </w:p>
    <w:p w14:paraId="28FD0A59" w14:textId="77777777" w:rsidR="004B42BA" w:rsidRDefault="004B42BA" w:rsidP="004B42BA">
      <w:pPr>
        <w:widowControl w:val="0"/>
        <w:spacing w:line="360" w:lineRule="auto"/>
        <w:ind w:right="-15" w:firstLine="720"/>
        <w:jc w:val="both"/>
        <w:rPr>
          <w:rFonts w:ascii="Times New Roman" w:eastAsia="Times New Roman" w:hAnsi="Times New Roman" w:cs="Times New Roman"/>
        </w:rPr>
      </w:pPr>
      <w:r w:rsidRPr="007A5DA6">
        <w:rPr>
          <w:rFonts w:ascii="Times New Roman" w:eastAsia="Times New Roman" w:hAnsi="Times New Roman" w:cs="Times New Roman"/>
        </w:rPr>
        <w:t xml:space="preserve">Takie rozróżnienie sposobu podejścia do rodzaju nagrody nie wydaje się dzisiaj zasadne. Wydaje się, że taka konstrukcja pozostaje w sprzeczności z logiką oraz intencją ustawodawcy, w związku z tym pojawia się potrzeba ponownego rozważenia zasadności stosowania podatku dochodowego w takich przypadkach. Medalistów sportowych należy traktować jako grupę o szczególnym znaczeniu dla państwa, a nagrody, które otrzymują, mają charakter nie tylko finansowy, ale także symboliczny. Zwolnienie z opodatkowania wszystkich otrzymanych nagród stanowiłoby istotny krok w kierunku docenienia ich wysiłku, wsparcia dalszego rozwoju kariery sportowej oraz zwiększenia motywacji do osiągania kolejnych sukcesów sportowych.  </w:t>
      </w:r>
    </w:p>
    <w:p w14:paraId="2AE281E8" w14:textId="198459D4" w:rsidR="007A5DA6" w:rsidRPr="007A5DA6" w:rsidRDefault="007A5DA6" w:rsidP="004B42BA">
      <w:pPr>
        <w:widowControl w:val="0"/>
        <w:spacing w:line="360" w:lineRule="auto"/>
        <w:ind w:right="-15" w:firstLine="720"/>
        <w:jc w:val="both"/>
        <w:rPr>
          <w:rFonts w:ascii="Times New Roman" w:eastAsia="Times New Roman" w:hAnsi="Times New Roman" w:cs="Times New Roman"/>
        </w:rPr>
      </w:pPr>
      <w:r>
        <w:rPr>
          <w:rFonts w:ascii="Times New Roman" w:eastAsia="Times New Roman" w:hAnsi="Times New Roman" w:cs="Times New Roman"/>
        </w:rPr>
        <w:t xml:space="preserve">Projekt ustawy nie został poprzedzony konsultacjami społecznymi, lecz odpowiada na zapotrzebowanie grupy sportowców. </w:t>
      </w:r>
    </w:p>
    <w:p w14:paraId="0A53A902" w14:textId="77777777" w:rsidR="007A5DA6" w:rsidRPr="007A5DA6" w:rsidRDefault="007A5DA6" w:rsidP="007A5DA6">
      <w:pPr>
        <w:widowControl w:val="0"/>
        <w:spacing w:line="360" w:lineRule="auto"/>
        <w:ind w:right="-15" w:firstLine="720"/>
        <w:jc w:val="both"/>
        <w:rPr>
          <w:rFonts w:ascii="Times New Roman" w:eastAsia="Times New Roman" w:hAnsi="Times New Roman" w:cs="Times New Roman"/>
        </w:rPr>
      </w:pPr>
      <w:r w:rsidRPr="007A5DA6">
        <w:rPr>
          <w:rFonts w:ascii="Times New Roman" w:eastAsia="Times New Roman" w:hAnsi="Times New Roman" w:cs="Times New Roman"/>
        </w:rPr>
        <w:t xml:space="preserve">Przepisy zawarte w projekcie ustawy nie mają bezpośredniego wpływu na działalność mikroprzedsiębiorców oraz małych i średnich przedsiębiorców. Nie określają także zasad podejmowania, wykonywania oraz zakończenia działalności gospodarczej. </w:t>
      </w:r>
    </w:p>
    <w:p w14:paraId="468779A8" w14:textId="77777777" w:rsidR="007A5DA6" w:rsidRPr="007A5DA6" w:rsidRDefault="007A5DA6" w:rsidP="007A5DA6">
      <w:pPr>
        <w:widowControl w:val="0"/>
        <w:spacing w:line="360" w:lineRule="auto"/>
        <w:ind w:right="-15" w:firstLine="720"/>
        <w:jc w:val="both"/>
        <w:rPr>
          <w:rFonts w:ascii="Times New Roman" w:eastAsia="Times New Roman" w:hAnsi="Times New Roman" w:cs="Times New Roman"/>
        </w:rPr>
      </w:pPr>
      <w:r w:rsidRPr="007A5DA6">
        <w:rPr>
          <w:rFonts w:ascii="Times New Roman" w:eastAsia="Times New Roman" w:hAnsi="Times New Roman" w:cs="Times New Roman"/>
        </w:rPr>
        <w:t>W ocenie projektodawcy przedmiot projektowanej regulacji nie jest objęty prawem Unii Europejskiej.</w:t>
      </w:r>
    </w:p>
    <w:p w14:paraId="56530A41" w14:textId="77777777" w:rsidR="007A5DA6" w:rsidRPr="007A5DA6" w:rsidRDefault="007A5DA6" w:rsidP="007A5DA6">
      <w:pPr>
        <w:widowControl w:val="0"/>
        <w:spacing w:line="360" w:lineRule="auto"/>
        <w:ind w:right="-15" w:firstLine="720"/>
        <w:jc w:val="both"/>
        <w:rPr>
          <w:rFonts w:ascii="Times New Roman" w:eastAsia="Times New Roman" w:hAnsi="Times New Roman" w:cs="Times New Roman"/>
        </w:rPr>
      </w:pPr>
      <w:r w:rsidRPr="007A5DA6">
        <w:rPr>
          <w:rFonts w:ascii="Times New Roman" w:eastAsia="Times New Roman" w:hAnsi="Times New Roman" w:cs="Times New Roman"/>
        </w:rPr>
        <w:lastRenderedPageBreak/>
        <w:t>Projekt ustawy nie zawiera przepisów technicznych w rozumieniu rozporządzenia Rady Ministrów z dnia 23 grudnia 2002 r. w sprawie sposobu funkcjonowania krajowego systemu notyfikacji norm i aktów prawnych (Dz. U. z 2002 r. poz. 2039 oraz z 2004 r. poz 597) i w związku z tym nie podlega notyfikacji.</w:t>
      </w:r>
    </w:p>
    <w:p w14:paraId="4ABD52DA" w14:textId="77777777" w:rsidR="007A5DA6" w:rsidRPr="007A5DA6" w:rsidRDefault="007A5DA6" w:rsidP="007A5DA6">
      <w:pPr>
        <w:widowControl w:val="0"/>
        <w:spacing w:line="360" w:lineRule="auto"/>
        <w:ind w:right="-15" w:firstLine="720"/>
        <w:jc w:val="both"/>
        <w:rPr>
          <w:rFonts w:ascii="Times New Roman" w:eastAsia="Times New Roman" w:hAnsi="Times New Roman" w:cs="Times New Roman"/>
        </w:rPr>
      </w:pPr>
      <w:r w:rsidRPr="007A5DA6">
        <w:rPr>
          <w:rFonts w:ascii="Times New Roman" w:eastAsia="Times New Roman" w:hAnsi="Times New Roman" w:cs="Times New Roman"/>
        </w:rPr>
        <w:t>Projekt nie wymaga przedłożenia właściwym instytucjom i organom Unii Europejskiej, w tym Europejskiemu Bankowi Centralnemu, w celu uzyskania opinii, dokonania powiadomienia, konsultacji albo uzgodnienia.</w:t>
      </w:r>
    </w:p>
    <w:p w14:paraId="36576F1C" w14:textId="5C205CF8" w:rsidR="004B42BA" w:rsidRDefault="007A5DA6" w:rsidP="007A5DA6">
      <w:pPr>
        <w:widowControl w:val="0"/>
        <w:spacing w:line="360" w:lineRule="auto"/>
        <w:ind w:right="-15" w:firstLine="720"/>
        <w:jc w:val="both"/>
        <w:rPr>
          <w:rFonts w:ascii="Times New Roman" w:eastAsia="Times New Roman" w:hAnsi="Times New Roman" w:cs="Times New Roman"/>
        </w:rPr>
      </w:pPr>
      <w:r w:rsidRPr="007A5DA6">
        <w:rPr>
          <w:rFonts w:ascii="Times New Roman" w:eastAsia="Times New Roman" w:hAnsi="Times New Roman" w:cs="Times New Roman"/>
        </w:rPr>
        <w:t>Projekt nie zawiera przepisów regulacyjnych lub przepisów określających wymogi dotyczące świadczenia usług transgranicznych w rozumieniu ustawy z dnia 22 grudnia 2015 r. o zasadach uznawania kwalifikacji zawodowych nabytych w państwach członkowskich Unii Europejskiej (Dz. U. z 2023 r. poz. 334).</w:t>
      </w:r>
    </w:p>
    <w:p w14:paraId="64FDEEAD" w14:textId="77777777" w:rsidR="007A5DA6" w:rsidRPr="007A5DA6" w:rsidRDefault="007A5DA6" w:rsidP="007A5DA6">
      <w:pPr>
        <w:widowControl w:val="0"/>
        <w:spacing w:line="360" w:lineRule="auto"/>
        <w:ind w:right="-15" w:firstLine="708"/>
        <w:jc w:val="both"/>
        <w:rPr>
          <w:rFonts w:ascii="Times New Roman" w:eastAsia="Times New Roman" w:hAnsi="Times New Roman" w:cs="Times New Roman"/>
        </w:rPr>
      </w:pPr>
      <w:r w:rsidRPr="007A5DA6">
        <w:rPr>
          <w:rFonts w:ascii="Times New Roman" w:eastAsia="Times New Roman" w:hAnsi="Times New Roman" w:cs="Times New Roman"/>
        </w:rPr>
        <w:t>Projekt ustawy nie zakłada wydania aktów wykonawczych.</w:t>
      </w:r>
    </w:p>
    <w:p w14:paraId="566B147D" w14:textId="77777777" w:rsidR="007A5DA6" w:rsidRPr="007A5DA6" w:rsidRDefault="007A5DA6" w:rsidP="007A5DA6">
      <w:pPr>
        <w:widowControl w:val="0"/>
        <w:spacing w:line="360" w:lineRule="auto"/>
        <w:ind w:right="-15" w:firstLine="720"/>
        <w:jc w:val="both"/>
        <w:rPr>
          <w:rFonts w:ascii="Times New Roman" w:eastAsia="Times New Roman" w:hAnsi="Times New Roman" w:cs="Times New Roman"/>
        </w:rPr>
      </w:pPr>
    </w:p>
    <w:p w14:paraId="5D9FB619" w14:textId="77777777" w:rsidR="00BE4808" w:rsidRDefault="00BE4808" w:rsidP="00BE4808">
      <w:pPr>
        <w:spacing w:line="240" w:lineRule="auto"/>
        <w:jc w:val="center"/>
        <w:rPr>
          <w:rFonts w:ascii="Times New Roman" w:eastAsia="Times New Roman" w:hAnsi="Times New Roman" w:cs="Times New Roman"/>
        </w:rPr>
      </w:pPr>
    </w:p>
    <w:p w14:paraId="5AC4531E" w14:textId="317B2DFB" w:rsidR="004B42BA" w:rsidRPr="007A5DA6" w:rsidRDefault="004B42BA" w:rsidP="00BE4808">
      <w:pPr>
        <w:spacing w:line="240" w:lineRule="auto"/>
        <w:jc w:val="center"/>
        <w:rPr>
          <w:rFonts w:ascii="Times New Roman" w:hAnsi="Times New Roman" w:cs="Times New Roman"/>
          <w:b/>
          <w:bCs/>
        </w:rPr>
      </w:pPr>
      <w:r w:rsidRPr="007A5DA6">
        <w:rPr>
          <w:rFonts w:ascii="Times New Roman" w:hAnsi="Times New Roman" w:cs="Times New Roman"/>
          <w:b/>
          <w:bCs/>
        </w:rPr>
        <w:t>DEKLAROWANE SKUTKI REGULACJI (DSR)</w:t>
      </w:r>
    </w:p>
    <w:p w14:paraId="38B59E89" w14:textId="77777777" w:rsidR="004B42BA" w:rsidRPr="007A5DA6" w:rsidRDefault="004B42BA" w:rsidP="004B42BA">
      <w:pPr>
        <w:spacing w:line="240" w:lineRule="auto"/>
        <w:jc w:val="center"/>
        <w:rPr>
          <w:rFonts w:ascii="Times New Roman" w:hAnsi="Times New Roman" w:cs="Times New Roman"/>
          <w:b/>
          <w:bCs/>
        </w:rPr>
      </w:pPr>
      <w:r w:rsidRPr="007A5DA6">
        <w:rPr>
          <w:rFonts w:ascii="Times New Roman" w:hAnsi="Times New Roman" w:cs="Times New Roman"/>
          <w:b/>
          <w:bCs/>
        </w:rPr>
        <w:t>projektu ustawy</w:t>
      </w:r>
    </w:p>
    <w:p w14:paraId="2A8FB22E" w14:textId="77777777" w:rsidR="004B42BA" w:rsidRPr="007A5DA6" w:rsidRDefault="004B42BA" w:rsidP="004B42BA">
      <w:pPr>
        <w:spacing w:line="240" w:lineRule="auto"/>
        <w:jc w:val="center"/>
        <w:rPr>
          <w:rFonts w:ascii="Times New Roman" w:hAnsi="Times New Roman" w:cs="Times New Roman"/>
          <w:b/>
          <w:bCs/>
        </w:rPr>
      </w:pPr>
    </w:p>
    <w:p w14:paraId="2DD025A1" w14:textId="5319B499" w:rsidR="004B42BA" w:rsidRPr="007A5DA6" w:rsidRDefault="004B42BA" w:rsidP="004B42BA">
      <w:pPr>
        <w:tabs>
          <w:tab w:val="left" w:pos="2834"/>
        </w:tabs>
        <w:spacing w:line="240" w:lineRule="auto"/>
        <w:rPr>
          <w:rFonts w:ascii="Times New Roman" w:hAnsi="Times New Roman" w:cs="Times New Roman"/>
          <w:b/>
          <w:bCs/>
        </w:rPr>
      </w:pPr>
    </w:p>
    <w:p w14:paraId="254067A8" w14:textId="77777777" w:rsidR="004B42BA" w:rsidRPr="007A5DA6" w:rsidRDefault="004B42BA" w:rsidP="004B42BA">
      <w:pPr>
        <w:tabs>
          <w:tab w:val="left" w:pos="6290"/>
        </w:tabs>
        <w:jc w:val="both"/>
        <w:rPr>
          <w:rFonts w:ascii="Times New Roman" w:hAnsi="Times New Roman" w:cs="Times New Roman"/>
          <w:b/>
          <w:bCs/>
        </w:rPr>
      </w:pPr>
      <w:r w:rsidRPr="007A5DA6">
        <w:rPr>
          <w:rFonts w:ascii="Times New Roman" w:hAnsi="Times New Roman" w:cs="Times New Roman"/>
          <w:b/>
          <w:bCs/>
        </w:rPr>
        <w:t>Informacja o projekcie</w:t>
      </w:r>
    </w:p>
    <w:p w14:paraId="32D56D87" w14:textId="77777777" w:rsidR="004B42BA" w:rsidRPr="007A5DA6" w:rsidRDefault="004B42BA" w:rsidP="004B42BA">
      <w:pPr>
        <w:tabs>
          <w:tab w:val="left" w:pos="6290"/>
        </w:tabs>
        <w:jc w:val="both"/>
        <w:rPr>
          <w:rFonts w:ascii="Times New Roman" w:hAnsi="Times New Roman" w:cs="Times New Roman"/>
          <w:b/>
          <w:bCs/>
        </w:rPr>
      </w:pPr>
      <w:r w:rsidRPr="007A5DA6">
        <w:rPr>
          <w:rFonts w:ascii="Times New Roman" w:hAnsi="Times New Roman" w:cs="Times New Roman"/>
          <w:b/>
          <w:bCs/>
        </w:rPr>
        <w:tab/>
      </w:r>
    </w:p>
    <w:p w14:paraId="40D7912F" w14:textId="77777777" w:rsidR="004B42BA" w:rsidRPr="007A5DA6" w:rsidRDefault="004B42BA" w:rsidP="004B42BA">
      <w:pPr>
        <w:ind w:left="360"/>
        <w:jc w:val="both"/>
        <w:rPr>
          <w:rFonts w:ascii="Times New Roman" w:hAnsi="Times New Roman" w:cs="Times New Roman"/>
        </w:rPr>
      </w:pPr>
      <w:r w:rsidRPr="007A5DA6">
        <w:rPr>
          <w:rFonts w:ascii="Times New Roman" w:hAnsi="Times New Roman" w:cs="Times New Roman"/>
        </w:rPr>
        <w:t>a) Tytuł projektu:</w:t>
      </w:r>
    </w:p>
    <w:tbl>
      <w:tblPr>
        <w:tblStyle w:val="Tabela-Siatka"/>
        <w:tblW w:w="9493" w:type="dxa"/>
        <w:tblLook w:val="04A0" w:firstRow="1" w:lastRow="0" w:firstColumn="1" w:lastColumn="0" w:noHBand="0" w:noVBand="1"/>
      </w:tblPr>
      <w:tblGrid>
        <w:gridCol w:w="9493"/>
      </w:tblGrid>
      <w:tr w:rsidR="004B42BA" w:rsidRPr="007A5DA6" w14:paraId="49FCFBE1" w14:textId="77777777" w:rsidTr="00465A2A">
        <w:trPr>
          <w:trHeight w:val="410"/>
        </w:trPr>
        <w:tc>
          <w:tcPr>
            <w:tcW w:w="9493" w:type="dxa"/>
          </w:tcPr>
          <w:p w14:paraId="28E99A4F" w14:textId="77777777" w:rsidR="004B42BA" w:rsidRPr="007A5DA6" w:rsidRDefault="004B42BA" w:rsidP="007C3EE8">
            <w:pPr>
              <w:ind w:left="360"/>
              <w:jc w:val="both"/>
              <w:rPr>
                <w:rFonts w:ascii="Times New Roman" w:hAnsi="Times New Roman" w:cs="Times New Roman"/>
              </w:rPr>
            </w:pPr>
            <w:bookmarkStart w:id="0" w:name="_Hlk174516121"/>
          </w:p>
          <w:p w14:paraId="24D18132" w14:textId="77777777" w:rsidR="004B42BA" w:rsidRPr="007A5DA6" w:rsidRDefault="004B42BA" w:rsidP="007C3EE8">
            <w:pPr>
              <w:ind w:left="360"/>
              <w:jc w:val="both"/>
              <w:rPr>
                <w:rFonts w:ascii="Times New Roman" w:hAnsi="Times New Roman" w:cs="Times New Roman"/>
                <w:color w:val="000000" w:themeColor="text1"/>
              </w:rPr>
            </w:pPr>
            <w:r w:rsidRPr="007A5DA6">
              <w:rPr>
                <w:rFonts w:ascii="Times New Roman" w:hAnsi="Times New Roman" w:cs="Times New Roman"/>
                <w:color w:val="000000" w:themeColor="text1"/>
              </w:rPr>
              <w:t>Projekt ustawy o zmianie ustawy o podatku dochodowym od osób fizycznych</w:t>
            </w:r>
          </w:p>
          <w:p w14:paraId="1456335C" w14:textId="77777777" w:rsidR="004B42BA" w:rsidRPr="007A5DA6" w:rsidRDefault="004B42BA" w:rsidP="007C3EE8">
            <w:pPr>
              <w:jc w:val="both"/>
              <w:rPr>
                <w:rFonts w:ascii="Times New Roman" w:eastAsia="Times New Roman" w:hAnsi="Times New Roman" w:cs="Times New Roman"/>
                <w:color w:val="808080" w:themeColor="background1" w:themeShade="80"/>
              </w:rPr>
            </w:pPr>
          </w:p>
        </w:tc>
      </w:tr>
      <w:bookmarkEnd w:id="0"/>
    </w:tbl>
    <w:p w14:paraId="0957CE11" w14:textId="77777777" w:rsidR="004B42BA" w:rsidRPr="007A5DA6" w:rsidRDefault="004B42BA" w:rsidP="004B42BA">
      <w:pPr>
        <w:jc w:val="both"/>
        <w:rPr>
          <w:rFonts w:ascii="Times New Roman" w:hAnsi="Times New Roman" w:cs="Times New Roman"/>
          <w:b/>
          <w:bCs/>
        </w:rPr>
      </w:pPr>
    </w:p>
    <w:p w14:paraId="0889282A" w14:textId="77777777" w:rsidR="004B42BA" w:rsidRPr="007A5DA6" w:rsidRDefault="004B42BA" w:rsidP="004B42BA">
      <w:pPr>
        <w:ind w:left="360"/>
        <w:jc w:val="both"/>
        <w:rPr>
          <w:rFonts w:ascii="Times New Roman" w:eastAsia="Times New Roman" w:hAnsi="Times New Roman" w:cs="Times New Roman"/>
        </w:rPr>
      </w:pPr>
      <w:r w:rsidRPr="007A5DA6">
        <w:rPr>
          <w:rFonts w:ascii="Times New Roman" w:eastAsia="Times New Roman" w:hAnsi="Times New Roman" w:cs="Times New Roman"/>
        </w:rPr>
        <w:t>b) Przedstawiciel wnioskodawcy:</w:t>
      </w:r>
    </w:p>
    <w:tbl>
      <w:tblPr>
        <w:tblStyle w:val="Tabela-Siatka"/>
        <w:tblW w:w="9493" w:type="dxa"/>
        <w:tblLook w:val="04A0" w:firstRow="1" w:lastRow="0" w:firstColumn="1" w:lastColumn="0" w:noHBand="0" w:noVBand="1"/>
      </w:tblPr>
      <w:tblGrid>
        <w:gridCol w:w="9493"/>
      </w:tblGrid>
      <w:tr w:rsidR="004B42BA" w:rsidRPr="007A5DA6" w14:paraId="5584F92E" w14:textId="77777777" w:rsidTr="00465A2A">
        <w:trPr>
          <w:trHeight w:val="671"/>
        </w:trPr>
        <w:tc>
          <w:tcPr>
            <w:tcW w:w="9493" w:type="dxa"/>
          </w:tcPr>
          <w:p w14:paraId="10D67966" w14:textId="77777777" w:rsidR="004B42BA" w:rsidRPr="007A5DA6" w:rsidRDefault="004B42BA" w:rsidP="007C3EE8">
            <w:pPr>
              <w:ind w:left="360"/>
              <w:jc w:val="both"/>
              <w:rPr>
                <w:rFonts w:ascii="Times New Roman" w:hAnsi="Times New Roman" w:cs="Times New Roman"/>
              </w:rPr>
            </w:pPr>
          </w:p>
          <w:p w14:paraId="0EFC02FE" w14:textId="77777777" w:rsidR="004B42BA" w:rsidRPr="007A5DA6" w:rsidRDefault="004B42BA" w:rsidP="007C3EE8">
            <w:pPr>
              <w:ind w:left="360"/>
              <w:jc w:val="both"/>
              <w:rPr>
                <w:rFonts w:ascii="Times New Roman" w:eastAsia="Times New Roman" w:hAnsi="Times New Roman" w:cs="Times New Roman"/>
              </w:rPr>
            </w:pPr>
            <w:r w:rsidRPr="007A5DA6">
              <w:rPr>
                <w:rFonts w:ascii="Times New Roman" w:eastAsia="Times New Roman" w:hAnsi="Times New Roman" w:cs="Times New Roman"/>
              </w:rPr>
              <w:t>Tadeusz Tomaszewski</w:t>
            </w:r>
          </w:p>
          <w:p w14:paraId="750B81F1" w14:textId="77777777" w:rsidR="004B42BA" w:rsidRPr="007A5DA6" w:rsidRDefault="004B42BA" w:rsidP="007C3EE8">
            <w:pPr>
              <w:jc w:val="both"/>
              <w:rPr>
                <w:rFonts w:ascii="Times New Roman" w:eastAsia="Times New Roman" w:hAnsi="Times New Roman" w:cs="Times New Roman"/>
                <w:color w:val="808080" w:themeColor="background1" w:themeShade="80"/>
              </w:rPr>
            </w:pPr>
          </w:p>
        </w:tc>
      </w:tr>
    </w:tbl>
    <w:p w14:paraId="695832A6" w14:textId="77777777" w:rsidR="004B42BA" w:rsidRPr="007A5DA6" w:rsidRDefault="004B42BA" w:rsidP="004B42BA">
      <w:pPr>
        <w:jc w:val="both"/>
        <w:rPr>
          <w:rFonts w:ascii="Times New Roman" w:hAnsi="Times New Roman" w:cs="Times New Roman"/>
          <w:b/>
          <w:bCs/>
        </w:rPr>
      </w:pPr>
    </w:p>
    <w:p w14:paraId="779BFB71" w14:textId="77777777" w:rsidR="004B42BA" w:rsidRPr="007A5DA6" w:rsidRDefault="004B42BA" w:rsidP="004B42BA">
      <w:pPr>
        <w:rPr>
          <w:rFonts w:ascii="Times New Roman" w:hAnsi="Times New Roman" w:cs="Times New Roman"/>
          <w:b/>
          <w:bCs/>
        </w:rPr>
      </w:pPr>
    </w:p>
    <w:p w14:paraId="360A28E5" w14:textId="77777777" w:rsidR="004B42BA" w:rsidRPr="007A5DA6" w:rsidRDefault="004B42BA" w:rsidP="004B42BA">
      <w:pPr>
        <w:rPr>
          <w:rFonts w:ascii="Times New Roman" w:hAnsi="Times New Roman" w:cs="Times New Roman"/>
        </w:rPr>
      </w:pPr>
      <w:r w:rsidRPr="007A5DA6">
        <w:rPr>
          <w:rFonts w:ascii="Times New Roman" w:hAnsi="Times New Roman" w:cs="Times New Roman"/>
          <w:b/>
        </w:rPr>
        <w:t>I. Część wstępna</w:t>
      </w:r>
    </w:p>
    <w:p w14:paraId="3ECFA2FF"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[1] Zwięzły opis zidentyfikowanego problemu i proponowanych rozwiązań.</w:t>
      </w:r>
    </w:p>
    <w:tbl>
      <w:tblPr>
        <w:tblStyle w:val="Tabela-Siatka"/>
        <w:tblW w:w="9493" w:type="dxa"/>
        <w:tblLook w:val="04A0" w:firstRow="1" w:lastRow="0" w:firstColumn="1" w:lastColumn="0" w:noHBand="0" w:noVBand="1"/>
      </w:tblPr>
      <w:tblGrid>
        <w:gridCol w:w="9493"/>
      </w:tblGrid>
      <w:tr w:rsidR="004B42BA" w:rsidRPr="007A5DA6" w14:paraId="1379A744" w14:textId="77777777" w:rsidTr="00465A2A">
        <w:tc>
          <w:tcPr>
            <w:tcW w:w="9493" w:type="dxa"/>
          </w:tcPr>
          <w:p w14:paraId="6F142DD0" w14:textId="31613D23" w:rsidR="00AB2CBC" w:rsidRPr="007A5DA6" w:rsidRDefault="004B42BA" w:rsidP="006B794E">
            <w:pPr>
              <w:jc w:val="both"/>
              <w:rPr>
                <w:rFonts w:ascii="Times New Roman" w:hAnsi="Times New Roman" w:cs="Times New Roman"/>
              </w:rPr>
            </w:pPr>
            <w:r w:rsidRPr="007A5DA6">
              <w:rPr>
                <w:rFonts w:ascii="Times New Roman" w:hAnsi="Times New Roman" w:cs="Times New Roman"/>
              </w:rPr>
              <w:t>Obecne przepisy prawa podatkowego w zakresie opodatkowania nagród przyznawanych medalistom sportowym prowadzą do nierównego traktowania różnych form gratyfikacji za osiągnięcia sportowe. Zgodnie z art. 21 ust. 1 pkt 40a ustawy o podatku dochodowym od osób fizycznych</w:t>
            </w:r>
            <w:r w:rsidR="007A5DA6">
              <w:rPr>
                <w:rFonts w:ascii="Times New Roman" w:hAnsi="Times New Roman" w:cs="Times New Roman"/>
              </w:rPr>
              <w:t xml:space="preserve"> </w:t>
            </w:r>
            <w:r w:rsidR="007A5DA6" w:rsidRPr="007A5DA6">
              <w:rPr>
                <w:rFonts w:ascii="Times New Roman" w:eastAsia="Times New Roman" w:hAnsi="Times New Roman" w:cs="Times New Roman"/>
              </w:rPr>
              <w:t>(Dz. U. z 202</w:t>
            </w:r>
            <w:r w:rsidR="007A5DA6">
              <w:rPr>
                <w:rFonts w:ascii="Times New Roman" w:eastAsia="Times New Roman" w:hAnsi="Times New Roman" w:cs="Times New Roman"/>
              </w:rPr>
              <w:t>5</w:t>
            </w:r>
            <w:r w:rsidR="007A5DA6" w:rsidRPr="007A5DA6">
              <w:rPr>
                <w:rFonts w:ascii="Times New Roman" w:eastAsia="Times New Roman" w:hAnsi="Times New Roman" w:cs="Times New Roman"/>
              </w:rPr>
              <w:t xml:space="preserve"> r. poz. </w:t>
            </w:r>
            <w:r w:rsidR="007A5DA6">
              <w:rPr>
                <w:rFonts w:ascii="Times New Roman" w:eastAsia="Times New Roman" w:hAnsi="Times New Roman" w:cs="Times New Roman"/>
              </w:rPr>
              <w:t>163</w:t>
            </w:r>
            <w:r w:rsidR="007A5DA6" w:rsidRPr="007A5DA6">
              <w:rPr>
                <w:rFonts w:ascii="Times New Roman" w:eastAsia="Times New Roman" w:hAnsi="Times New Roman" w:cs="Times New Roman"/>
              </w:rPr>
              <w:t>)</w:t>
            </w:r>
            <w:r w:rsidRPr="007A5DA6">
              <w:rPr>
                <w:rFonts w:ascii="Times New Roman" w:hAnsi="Times New Roman" w:cs="Times New Roman"/>
              </w:rPr>
              <w:t xml:space="preserve"> zwolnione z opodatkowania są wyłącznie nagrody pieniężne wypłacane przez Polski Komitet Olimpijski, Polski Komitet Paralimpijski oraz Polski Związek Sportu Niesłyszących. Przepis ten nie obejmuje nagród rzeczowych, co skutkuje ich opodatkowaniem. </w:t>
            </w:r>
            <w:r w:rsidR="00AB2CBC" w:rsidRPr="007A5DA6">
              <w:rPr>
                <w:rFonts w:ascii="Times New Roman" w:hAnsi="Times New Roman" w:cs="Times New Roman"/>
              </w:rPr>
              <w:t>Taki stan prawny potwierdza Dyrektor Krajowej Informacji Skarbowej, który w interpretacji indywidua</w:t>
            </w:r>
            <w:r w:rsidR="00625A8F" w:rsidRPr="007A5DA6">
              <w:rPr>
                <w:rFonts w:ascii="Times New Roman" w:hAnsi="Times New Roman" w:cs="Times New Roman"/>
              </w:rPr>
              <w:t>l</w:t>
            </w:r>
            <w:r w:rsidR="00AB2CBC" w:rsidRPr="007A5DA6">
              <w:rPr>
                <w:rFonts w:ascii="Times New Roman" w:hAnsi="Times New Roman" w:cs="Times New Roman"/>
              </w:rPr>
              <w:t>nej z dnia 29 listopada 2023 r., sygn.: 0115-KDIT2.4011.451.2023.2.ŁS</w:t>
            </w:r>
            <w:r w:rsidR="006B794E" w:rsidRPr="007A5DA6">
              <w:rPr>
                <w:rFonts w:ascii="Times New Roman" w:hAnsi="Times New Roman" w:cs="Times New Roman"/>
              </w:rPr>
              <w:t xml:space="preserve"> w zakresie zwolnienia z opodatkowania przyznanych medalistom </w:t>
            </w:r>
            <w:r w:rsidR="006B794E" w:rsidRPr="007A5DA6">
              <w:rPr>
                <w:rFonts w:ascii="Times New Roman" w:hAnsi="Times New Roman" w:cs="Times New Roman"/>
              </w:rPr>
              <w:lastRenderedPageBreak/>
              <w:t xml:space="preserve">nagród za wyniki sportowe, </w:t>
            </w:r>
            <w:r w:rsidR="00AB2CBC" w:rsidRPr="007A5DA6">
              <w:rPr>
                <w:rFonts w:ascii="Times New Roman" w:hAnsi="Times New Roman" w:cs="Times New Roman"/>
              </w:rPr>
              <w:t>dotyczącej Członków Polskiej Reprezentacji, którzy zdobędą medal na Igrzyskach, stwierdził, że zwolnienie z opodatkowania dotyczy wyłącznie nagród pieniężnych.</w:t>
            </w:r>
          </w:p>
          <w:p w14:paraId="3EACE741" w14:textId="742E7900" w:rsidR="004B42BA" w:rsidRPr="007A5DA6" w:rsidRDefault="004B42BA" w:rsidP="00D958E1">
            <w:pPr>
              <w:jc w:val="both"/>
              <w:rPr>
                <w:rFonts w:ascii="Times New Roman" w:hAnsi="Times New Roman" w:cs="Times New Roman"/>
              </w:rPr>
            </w:pPr>
            <w:r w:rsidRPr="007A5DA6">
              <w:rPr>
                <w:rFonts w:ascii="Times New Roman" w:hAnsi="Times New Roman" w:cs="Times New Roman"/>
              </w:rPr>
              <w:t xml:space="preserve">Taka sytuacja jest nieuzasadniona, ponieważ zarówno nagrody pieniężne, jak i rzeczowe stanowią formę uznania dla sportowców za ich wybitne osiągnięcia. Brak zwolnienia dla nagród rzeczowych nie tylko powoduje nierówność w traktowaniu różnych form gratyfikacji, ale także stoi w sprzeczności z intencją ustawodawcy dotyczącą docenienia medalistów </w:t>
            </w:r>
            <w:r w:rsidR="00D958E1" w:rsidRPr="007A5DA6">
              <w:rPr>
                <w:rFonts w:ascii="Times New Roman" w:hAnsi="Times New Roman" w:cs="Times New Roman"/>
              </w:rPr>
              <w:t>największych międzynarodowych imprez sportowych</w:t>
            </w:r>
            <w:r w:rsidRPr="007A5DA6">
              <w:rPr>
                <w:rFonts w:ascii="Times New Roman" w:hAnsi="Times New Roman" w:cs="Times New Roman"/>
              </w:rPr>
              <w:t xml:space="preserve">. </w:t>
            </w:r>
          </w:p>
          <w:p w14:paraId="01E6EF5E" w14:textId="7A7335A3" w:rsidR="004B42BA" w:rsidRPr="007A5DA6" w:rsidRDefault="004B42BA" w:rsidP="007A5DA6">
            <w:pPr>
              <w:jc w:val="both"/>
              <w:rPr>
                <w:rFonts w:ascii="Times New Roman" w:hAnsi="Times New Roman" w:cs="Times New Roman"/>
              </w:rPr>
            </w:pPr>
            <w:r w:rsidRPr="007A5DA6">
              <w:rPr>
                <w:rFonts w:ascii="Times New Roman" w:hAnsi="Times New Roman" w:cs="Times New Roman"/>
              </w:rPr>
              <w:t>Proponowanym rozwiązaniem jest rozszerzenie zakresu zwolnienia podatkowego na nagrody rzeczowe przyznawane medalistom igrzysk olimpijskich, paralimpijskich</w:t>
            </w:r>
            <w:r w:rsidR="00D958E1" w:rsidRPr="007A5DA6">
              <w:rPr>
                <w:rFonts w:ascii="Times New Roman" w:hAnsi="Times New Roman" w:cs="Times New Roman"/>
              </w:rPr>
              <w:t xml:space="preserve"> i </w:t>
            </w:r>
            <w:r w:rsidRPr="007A5DA6">
              <w:rPr>
                <w:rFonts w:ascii="Times New Roman" w:hAnsi="Times New Roman" w:cs="Times New Roman"/>
              </w:rPr>
              <w:t>igrzysk głuchych przez uprawnione organizacje</w:t>
            </w:r>
            <w:r w:rsidR="00D958E1" w:rsidRPr="007A5DA6">
              <w:rPr>
                <w:rFonts w:ascii="Times New Roman" w:hAnsi="Times New Roman" w:cs="Times New Roman"/>
              </w:rPr>
              <w:t xml:space="preserve"> sportowe oraz dodanie finalistów igrzysk Olimpiad Specjalnych do adresatów normy</w:t>
            </w:r>
            <w:r w:rsidRPr="007A5DA6">
              <w:rPr>
                <w:rFonts w:ascii="Times New Roman" w:hAnsi="Times New Roman" w:cs="Times New Roman"/>
              </w:rPr>
              <w:t>. Takie rozwiązanie zwiększy przejrzystość i spójność przepisów, zapewni równe traktowanie nagród niezależnie od ich formy oraz będzie stanowiło istotne wsparcie dla sportowców reprezentujących Polskę na arenie międzynarodowej.</w:t>
            </w:r>
          </w:p>
        </w:tc>
      </w:tr>
    </w:tbl>
    <w:p w14:paraId="3D12A56F" w14:textId="77777777" w:rsidR="004B42BA" w:rsidRPr="007A5DA6" w:rsidRDefault="004B42BA" w:rsidP="004B42BA">
      <w:pPr>
        <w:jc w:val="both"/>
        <w:rPr>
          <w:rFonts w:ascii="Times New Roman" w:hAnsi="Times New Roman" w:cs="Times New Roman"/>
        </w:rPr>
      </w:pPr>
    </w:p>
    <w:p w14:paraId="0F6179FB"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[2] Czy były rozważane rozwiązania alternatywne?</w:t>
      </w:r>
    </w:p>
    <w:p w14:paraId="29913FD1" w14:textId="77777777" w:rsidR="004B42BA" w:rsidRPr="007A5DA6" w:rsidRDefault="004B42BA" w:rsidP="004B42BA">
      <w:pPr>
        <w:pStyle w:val="Akapitzlist"/>
        <w:numPr>
          <w:ilvl w:val="0"/>
          <w:numId w:val="1"/>
        </w:numPr>
        <w:spacing w:after="160" w:line="240" w:lineRule="auto"/>
        <w:jc w:val="both"/>
        <w:rPr>
          <w:rFonts w:ascii="Times New Roman" w:hAnsi="Times New Roman" w:cs="Times New Roman"/>
          <w:b/>
          <w:bCs/>
        </w:rPr>
      </w:pPr>
      <w:r w:rsidRPr="007A5DA6">
        <w:rPr>
          <w:rFonts w:ascii="Times New Roman" w:hAnsi="Times New Roman" w:cs="Times New Roman"/>
          <w:b/>
          <w:bCs/>
        </w:rPr>
        <w:t xml:space="preserve">Tak </w:t>
      </w:r>
    </w:p>
    <w:p w14:paraId="444A0027" w14:textId="77777777" w:rsidR="004B42BA" w:rsidRPr="007A5DA6" w:rsidRDefault="004B42BA" w:rsidP="004B42BA">
      <w:pPr>
        <w:pStyle w:val="Akapitzlist"/>
        <w:numPr>
          <w:ilvl w:val="0"/>
          <w:numId w:val="1"/>
        </w:numPr>
        <w:spacing w:after="160" w:line="240" w:lineRule="auto"/>
        <w:jc w:val="both"/>
        <w:rPr>
          <w:rFonts w:ascii="Times New Roman" w:hAnsi="Times New Roman" w:cs="Times New Roman"/>
        </w:rPr>
      </w:pPr>
      <w:r w:rsidRPr="007A5DA6">
        <w:rPr>
          <w:rFonts w:ascii="Times New Roman" w:hAnsi="Times New Roman" w:cs="Times New Roman"/>
        </w:rPr>
        <w:t>Nie</w:t>
      </w:r>
    </w:p>
    <w:tbl>
      <w:tblPr>
        <w:tblStyle w:val="Tabela-Siatka"/>
        <w:tblW w:w="9493" w:type="dxa"/>
        <w:tblLook w:val="04A0" w:firstRow="1" w:lastRow="0" w:firstColumn="1" w:lastColumn="0" w:noHBand="0" w:noVBand="1"/>
      </w:tblPr>
      <w:tblGrid>
        <w:gridCol w:w="9493"/>
      </w:tblGrid>
      <w:tr w:rsidR="004B42BA" w:rsidRPr="007A5DA6" w14:paraId="6AED77AE" w14:textId="77777777" w:rsidTr="00465A2A">
        <w:tc>
          <w:tcPr>
            <w:tcW w:w="9493" w:type="dxa"/>
          </w:tcPr>
          <w:p w14:paraId="65F4C017" w14:textId="733F9BC2" w:rsidR="004B42BA" w:rsidRPr="007A5DA6" w:rsidRDefault="004B42BA" w:rsidP="00D958E1">
            <w:pPr>
              <w:jc w:val="both"/>
              <w:rPr>
                <w:rFonts w:ascii="Times New Roman" w:hAnsi="Times New Roman" w:cs="Times New Roman"/>
              </w:rPr>
            </w:pPr>
            <w:bookmarkStart w:id="1" w:name="_Hlk174441549"/>
            <w:r w:rsidRPr="007A5DA6">
              <w:rPr>
                <w:rFonts w:ascii="Times New Roman" w:hAnsi="Times New Roman" w:cs="Times New Roman"/>
              </w:rPr>
              <w:t>W toku analizy problemu rozważano kilka różnych podejść do kwestii opodatkowania nagród rzeczowych przyznawanych medalistom igrzysk olimpijskich, paralimpijskich i igrzysk głuchych.</w:t>
            </w:r>
          </w:p>
          <w:p w14:paraId="797A3015" w14:textId="77777777" w:rsidR="004B42BA" w:rsidRPr="007A5DA6" w:rsidRDefault="004B42BA" w:rsidP="00D958E1">
            <w:pPr>
              <w:jc w:val="both"/>
              <w:rPr>
                <w:rFonts w:ascii="Times New Roman" w:hAnsi="Times New Roman" w:cs="Times New Roman"/>
              </w:rPr>
            </w:pPr>
            <w:r w:rsidRPr="007A5DA6">
              <w:rPr>
                <w:rFonts w:ascii="Times New Roman" w:hAnsi="Times New Roman" w:cs="Times New Roman"/>
              </w:rPr>
              <w:t>Jednym z możliwych rozwiązań było pozostawienie obowiązujących przepisów bez zmian. Zwolnienie z opodatkowania nadal dotyczyłoby wyłącznie nagród pieniężnych, natomiast nagrody rzeczowe byłyby opodatkowane zgodnie z ogólnymi zasadami. Taki wariant nie wymagałby ingerencji w obowiązujące przepisy, jednak nie rozwiązywałby kluczowego problemu nierównego traktowania różnych form nagradzania sportowców. Ponadto prowadziłby do sytuacji, w której sportowcy otrzymujący nagrody rzeczowe musieliby ponosić dodatkowe obciążenia podatkowe, co mogłoby ograniczać atrakcyjność takiej formy gratyfikacji.</w:t>
            </w:r>
          </w:p>
          <w:p w14:paraId="3AB72BD6" w14:textId="77777777" w:rsidR="004B42BA" w:rsidRPr="007A5DA6" w:rsidRDefault="004B42BA" w:rsidP="00D958E1">
            <w:pPr>
              <w:jc w:val="both"/>
              <w:rPr>
                <w:rFonts w:ascii="Times New Roman" w:eastAsia="Times New Roman" w:hAnsi="Times New Roman" w:cs="Times New Roman"/>
              </w:rPr>
            </w:pPr>
            <w:r w:rsidRPr="007A5DA6">
              <w:rPr>
                <w:rFonts w:ascii="Times New Roman" w:eastAsia="Times New Roman" w:hAnsi="Times New Roman" w:cs="Times New Roman"/>
              </w:rPr>
              <w:t>Najbardziej kompleksowym i sprawiedliwym rozwiązaniem okazało się pełne zwolnienie nagród rzeczowych z opodatkowania na tych samych zasadach, co nagrody pieniężne. Takie rozwiązanie nie tylko eliminowałoby istniejącą nierówność w traktowaniu różnych form gratyfikacji, ale także wzmacniałoby prestiż przyznawanych nagród i motywowało sportowców do dalszego reprezentowania kraju na międzynarodowych zawodach. Dodatkowo, objęcie wszystkich nagród zwolnieniem podatkowym uprościłoby proces ich przyznawania, eliminując konieczność wyceny nagród rzeczowych na potrzeby podatkowe oraz unikając potencjalnych sporów interpretacyjnych w tym zakresie.</w:t>
            </w:r>
          </w:p>
          <w:p w14:paraId="0C59C529" w14:textId="30DDAAD2" w:rsidR="004B42BA" w:rsidRPr="007A5DA6" w:rsidRDefault="004B42BA" w:rsidP="007C3EE8">
            <w:pPr>
              <w:jc w:val="both"/>
              <w:rPr>
                <w:rFonts w:ascii="Times New Roman" w:eastAsia="Times New Roman" w:hAnsi="Times New Roman" w:cs="Times New Roman"/>
              </w:rPr>
            </w:pPr>
            <w:r w:rsidRPr="007A5DA6">
              <w:rPr>
                <w:rFonts w:ascii="Times New Roman" w:eastAsia="Times New Roman" w:hAnsi="Times New Roman" w:cs="Times New Roman"/>
              </w:rPr>
              <w:t>Ostatecznie uznano, że rozszerzenie zwolnienia podatkowego na nagrody rzeczowe jest rozwiązaniem najbardziej sprawiedliwym i zgodnym z intencją ustawodawcy, który przewidział już preferencyjne traktowanie nagród pieniężnych. Jest to krok w kierunku docenienia wysiłku i zaangażowania medalistów igrzysk, wspierania ich dalszej kariery sportowej oraz zapewnienia spójności w regulacjach dotyczących gratyfikacji za osiągnięcia sportowe.</w:t>
            </w:r>
          </w:p>
        </w:tc>
      </w:tr>
      <w:bookmarkEnd w:id="1"/>
    </w:tbl>
    <w:p w14:paraId="33153A7C" w14:textId="77777777" w:rsidR="004B42BA" w:rsidRPr="007A5DA6" w:rsidRDefault="004B42BA" w:rsidP="004B42BA">
      <w:pPr>
        <w:rPr>
          <w:rFonts w:ascii="Times New Roman" w:hAnsi="Times New Roman" w:cs="Times New Roman"/>
          <w:b/>
        </w:rPr>
      </w:pPr>
    </w:p>
    <w:p w14:paraId="50716CA8" w14:textId="77777777" w:rsidR="004B42BA" w:rsidRPr="007A5DA6" w:rsidRDefault="004B42BA" w:rsidP="004B42BA">
      <w:pPr>
        <w:rPr>
          <w:rFonts w:ascii="Times New Roman" w:hAnsi="Times New Roman" w:cs="Times New Roman"/>
        </w:rPr>
      </w:pPr>
      <w:r w:rsidRPr="007A5DA6">
        <w:rPr>
          <w:rFonts w:ascii="Times New Roman" w:hAnsi="Times New Roman" w:cs="Times New Roman"/>
          <w:b/>
        </w:rPr>
        <w:t>II. Wymogi określone w art. 34 ust. 2 pkt 3–5 regulaminu Sejmu</w:t>
      </w:r>
    </w:p>
    <w:p w14:paraId="2A62390E"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[3] Jakie są przewidywane skutki prawne projektowanych rozwiązań?</w:t>
      </w:r>
    </w:p>
    <w:tbl>
      <w:tblPr>
        <w:tblStyle w:val="Tabela-Siatka"/>
        <w:tblW w:w="9493" w:type="dxa"/>
        <w:tblLook w:val="04A0" w:firstRow="1" w:lastRow="0" w:firstColumn="1" w:lastColumn="0" w:noHBand="0" w:noVBand="1"/>
      </w:tblPr>
      <w:tblGrid>
        <w:gridCol w:w="9493"/>
      </w:tblGrid>
      <w:tr w:rsidR="004B42BA" w:rsidRPr="007A5DA6" w14:paraId="12866A7F" w14:textId="77777777" w:rsidTr="00465A2A">
        <w:tc>
          <w:tcPr>
            <w:tcW w:w="9493" w:type="dxa"/>
          </w:tcPr>
          <w:p w14:paraId="5016B764" w14:textId="42EF16D3" w:rsidR="00762EB2" w:rsidRPr="007A5DA6" w:rsidRDefault="004B42BA" w:rsidP="00762EB2">
            <w:pPr>
              <w:pStyle w:val="NormalnyWeb"/>
              <w:jc w:val="both"/>
              <w:rPr>
                <w:color w:val="000000"/>
                <w:sz w:val="22"/>
                <w:szCs w:val="22"/>
              </w:rPr>
            </w:pPr>
            <w:r w:rsidRPr="007A5DA6">
              <w:rPr>
                <w:color w:val="000000"/>
                <w:sz w:val="22"/>
                <w:szCs w:val="22"/>
              </w:rPr>
              <w:t xml:space="preserve">Wprowadzenie zwolnienia podatkowego dla nagród rzeczowych przyznawanych medalistom </w:t>
            </w:r>
            <w:r w:rsidR="00814B15" w:rsidRPr="007A5DA6">
              <w:rPr>
                <w:color w:val="000000"/>
                <w:sz w:val="22"/>
                <w:szCs w:val="22"/>
              </w:rPr>
              <w:t>i</w:t>
            </w:r>
            <w:r w:rsidRPr="007A5DA6">
              <w:rPr>
                <w:color w:val="000000"/>
                <w:sz w:val="22"/>
                <w:szCs w:val="22"/>
              </w:rPr>
              <w:t xml:space="preserve">grzysk olimpijskich, </w:t>
            </w:r>
            <w:r w:rsidR="00814B15" w:rsidRPr="007A5DA6">
              <w:rPr>
                <w:color w:val="000000"/>
                <w:sz w:val="22"/>
                <w:szCs w:val="22"/>
              </w:rPr>
              <w:t>i</w:t>
            </w:r>
            <w:r w:rsidR="000F6BAB" w:rsidRPr="007A5DA6">
              <w:rPr>
                <w:color w:val="000000"/>
                <w:sz w:val="22"/>
                <w:szCs w:val="22"/>
              </w:rPr>
              <w:t xml:space="preserve">grzysk </w:t>
            </w:r>
            <w:r w:rsidRPr="007A5DA6">
              <w:rPr>
                <w:color w:val="000000"/>
                <w:sz w:val="22"/>
                <w:szCs w:val="22"/>
              </w:rPr>
              <w:t>paralimpijskich</w:t>
            </w:r>
            <w:r w:rsidR="000F6BAB" w:rsidRPr="007A5DA6">
              <w:rPr>
                <w:color w:val="000000"/>
                <w:sz w:val="22"/>
                <w:szCs w:val="22"/>
              </w:rPr>
              <w:t xml:space="preserve">, </w:t>
            </w:r>
            <w:r w:rsidR="00814B15" w:rsidRPr="007A5DA6">
              <w:rPr>
                <w:color w:val="000000"/>
                <w:sz w:val="22"/>
                <w:szCs w:val="22"/>
              </w:rPr>
              <w:t>i</w:t>
            </w:r>
            <w:r w:rsidRPr="007A5DA6">
              <w:rPr>
                <w:color w:val="000000"/>
                <w:sz w:val="22"/>
                <w:szCs w:val="22"/>
              </w:rPr>
              <w:t xml:space="preserve">grzysk głuchych </w:t>
            </w:r>
            <w:r w:rsidR="000F6BAB" w:rsidRPr="007A5DA6">
              <w:rPr>
                <w:color w:val="000000"/>
                <w:sz w:val="22"/>
                <w:szCs w:val="22"/>
              </w:rPr>
              <w:t xml:space="preserve">oraz </w:t>
            </w:r>
            <w:r w:rsidR="00814B15" w:rsidRPr="007A5DA6">
              <w:rPr>
                <w:color w:val="000000"/>
                <w:sz w:val="22"/>
                <w:szCs w:val="22"/>
              </w:rPr>
              <w:t>o</w:t>
            </w:r>
            <w:r w:rsidR="000F6BAB" w:rsidRPr="007A5DA6">
              <w:rPr>
                <w:color w:val="000000"/>
                <w:sz w:val="22"/>
                <w:szCs w:val="22"/>
              </w:rPr>
              <w:t xml:space="preserve">limpiad </w:t>
            </w:r>
            <w:r w:rsidR="00814B15" w:rsidRPr="007A5DA6">
              <w:rPr>
                <w:color w:val="000000"/>
                <w:sz w:val="22"/>
                <w:szCs w:val="22"/>
              </w:rPr>
              <w:t>s</w:t>
            </w:r>
            <w:r w:rsidR="000F6BAB" w:rsidRPr="007A5DA6">
              <w:rPr>
                <w:color w:val="000000"/>
                <w:sz w:val="22"/>
                <w:szCs w:val="22"/>
              </w:rPr>
              <w:t xml:space="preserve">pecjalnych </w:t>
            </w:r>
            <w:r w:rsidRPr="007A5DA6">
              <w:rPr>
                <w:color w:val="000000"/>
                <w:sz w:val="22"/>
                <w:szCs w:val="22"/>
              </w:rPr>
              <w:t xml:space="preserve">będzie miało </w:t>
            </w:r>
            <w:r w:rsidR="00762EB2" w:rsidRPr="007A5DA6">
              <w:rPr>
                <w:color w:val="000000"/>
                <w:sz w:val="22"/>
                <w:szCs w:val="22"/>
              </w:rPr>
              <w:t>nieznaczne</w:t>
            </w:r>
            <w:r w:rsidRPr="007A5DA6">
              <w:rPr>
                <w:color w:val="000000"/>
                <w:sz w:val="22"/>
                <w:szCs w:val="22"/>
              </w:rPr>
              <w:t xml:space="preserve"> konsekwencje prawne, które wpłyną na system podatkow</w:t>
            </w:r>
            <w:r w:rsidR="00762EB2" w:rsidRPr="007A5DA6">
              <w:rPr>
                <w:color w:val="000000"/>
                <w:sz w:val="22"/>
                <w:szCs w:val="22"/>
              </w:rPr>
              <w:t>y (zwolnienie przedmiotowe). Proponowana nowelizacja ustawy</w:t>
            </w:r>
            <w:r w:rsidRPr="007A5DA6">
              <w:rPr>
                <w:color w:val="000000"/>
                <w:sz w:val="22"/>
                <w:szCs w:val="22"/>
              </w:rPr>
              <w:t xml:space="preserve"> przyczyni się do</w:t>
            </w:r>
            <w:r w:rsidRPr="007A5DA6">
              <w:rPr>
                <w:rStyle w:val="apple-converted-space"/>
                <w:rFonts w:eastAsiaTheme="majorEastAsia"/>
                <w:b/>
                <w:bCs/>
                <w:color w:val="000000"/>
                <w:sz w:val="22"/>
                <w:szCs w:val="22"/>
              </w:rPr>
              <w:t> </w:t>
            </w:r>
            <w:r w:rsidRPr="007A5DA6">
              <w:rPr>
                <w:rStyle w:val="Pogrubienie"/>
                <w:b w:val="0"/>
                <w:bCs w:val="0"/>
                <w:color w:val="000000"/>
                <w:sz w:val="22"/>
                <w:szCs w:val="22"/>
              </w:rPr>
              <w:t>ujednolicenia systemu zwolnień podatkowych</w:t>
            </w:r>
            <w:r w:rsidRPr="007A5DA6">
              <w:rPr>
                <w:rStyle w:val="apple-converted-space"/>
                <w:rFonts w:eastAsiaTheme="majorEastAsia"/>
                <w:color w:val="000000"/>
                <w:sz w:val="22"/>
                <w:szCs w:val="22"/>
              </w:rPr>
              <w:t> </w:t>
            </w:r>
            <w:r w:rsidRPr="007A5DA6">
              <w:rPr>
                <w:color w:val="000000"/>
                <w:sz w:val="22"/>
                <w:szCs w:val="22"/>
              </w:rPr>
              <w:t xml:space="preserve">poprzez </w:t>
            </w:r>
            <w:r w:rsidRPr="007A5DA6">
              <w:rPr>
                <w:color w:val="000000"/>
                <w:sz w:val="22"/>
                <w:szCs w:val="22"/>
              </w:rPr>
              <w:lastRenderedPageBreak/>
              <w:t>objęcie nim nie tylko nagród pieniężnych, ale również rzeczowych. Obecnie obowiązujące przepisy różnicują te dwie formy gratyfikacji, co prowadzi do nierówności w traktowaniu medalistów. Rozszerzenie zwolnienia wyeliminuje tę niespójność i zapewni jednoznaczne, przejrzyste zasady opodatkowania nagród sportowych.</w:t>
            </w:r>
          </w:p>
        </w:tc>
      </w:tr>
    </w:tbl>
    <w:p w14:paraId="49B04495" w14:textId="77777777" w:rsidR="004B42BA" w:rsidRPr="007A5DA6" w:rsidRDefault="004B42BA" w:rsidP="004B42BA">
      <w:pPr>
        <w:jc w:val="both"/>
        <w:rPr>
          <w:rFonts w:ascii="Times New Roman" w:hAnsi="Times New Roman" w:cs="Times New Roman"/>
        </w:rPr>
      </w:pPr>
    </w:p>
    <w:p w14:paraId="0A43D5AF"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 xml:space="preserve">[4] Jakie są </w:t>
      </w:r>
      <w:bookmarkStart w:id="2" w:name="_Hlk174443131"/>
      <w:r w:rsidRPr="007A5DA6">
        <w:rPr>
          <w:rFonts w:ascii="Times New Roman" w:hAnsi="Times New Roman" w:cs="Times New Roman"/>
        </w:rPr>
        <w:t>przewidywane</w:t>
      </w:r>
      <w:bookmarkEnd w:id="2"/>
      <w:r w:rsidRPr="007A5DA6">
        <w:rPr>
          <w:rFonts w:ascii="Times New Roman" w:hAnsi="Times New Roman" w:cs="Times New Roman"/>
        </w:rPr>
        <w:t xml:space="preserve"> skutki społeczne projektowanych rozwiązań?</w:t>
      </w:r>
    </w:p>
    <w:tbl>
      <w:tblPr>
        <w:tblStyle w:val="Tabela-Siatka"/>
        <w:tblW w:w="9493" w:type="dxa"/>
        <w:tblLook w:val="04A0" w:firstRow="1" w:lastRow="0" w:firstColumn="1" w:lastColumn="0" w:noHBand="0" w:noVBand="1"/>
      </w:tblPr>
      <w:tblGrid>
        <w:gridCol w:w="9493"/>
      </w:tblGrid>
      <w:tr w:rsidR="004B42BA" w:rsidRPr="007A5DA6" w14:paraId="6FD963A9" w14:textId="77777777" w:rsidTr="00465A2A">
        <w:tc>
          <w:tcPr>
            <w:tcW w:w="9493" w:type="dxa"/>
          </w:tcPr>
          <w:p w14:paraId="67694DF9" w14:textId="14318328" w:rsidR="004B42BA" w:rsidRPr="007A5DA6" w:rsidRDefault="004B42BA" w:rsidP="00814B15">
            <w:pPr>
              <w:jc w:val="both"/>
              <w:rPr>
                <w:rFonts w:ascii="Times New Roman" w:hAnsi="Times New Roman" w:cs="Times New Roman"/>
              </w:rPr>
            </w:pPr>
            <w:r w:rsidRPr="007A5DA6">
              <w:rPr>
                <w:rFonts w:ascii="Times New Roman" w:hAnsi="Times New Roman" w:cs="Times New Roman"/>
              </w:rPr>
              <w:t xml:space="preserve">Wprowadzenie zwolnienia z opodatkowania nagród rzeczowych przyznawanych medalistom </w:t>
            </w:r>
            <w:r w:rsidR="00814B15" w:rsidRPr="007A5DA6">
              <w:rPr>
                <w:rFonts w:ascii="Times New Roman" w:hAnsi="Times New Roman" w:cs="Times New Roman"/>
              </w:rPr>
              <w:t>i</w:t>
            </w:r>
            <w:r w:rsidRPr="007A5DA6">
              <w:rPr>
                <w:rFonts w:ascii="Times New Roman" w:hAnsi="Times New Roman" w:cs="Times New Roman"/>
              </w:rPr>
              <w:t xml:space="preserve">grzysk olimpijskich, </w:t>
            </w:r>
            <w:r w:rsidR="00814B15" w:rsidRPr="007A5DA6">
              <w:rPr>
                <w:rFonts w:ascii="Times New Roman" w:hAnsi="Times New Roman" w:cs="Times New Roman"/>
              </w:rPr>
              <w:t>i</w:t>
            </w:r>
            <w:r w:rsidR="00762EB2" w:rsidRPr="007A5DA6">
              <w:rPr>
                <w:rFonts w:ascii="Times New Roman" w:hAnsi="Times New Roman" w:cs="Times New Roman"/>
              </w:rPr>
              <w:t xml:space="preserve">grzysk </w:t>
            </w:r>
            <w:r w:rsidRPr="007A5DA6">
              <w:rPr>
                <w:rFonts w:ascii="Times New Roman" w:hAnsi="Times New Roman" w:cs="Times New Roman"/>
              </w:rPr>
              <w:t>paralimpijskich</w:t>
            </w:r>
            <w:r w:rsidR="00762EB2" w:rsidRPr="007A5DA6">
              <w:rPr>
                <w:rFonts w:ascii="Times New Roman" w:hAnsi="Times New Roman" w:cs="Times New Roman"/>
              </w:rPr>
              <w:t xml:space="preserve">, </w:t>
            </w:r>
            <w:r w:rsidR="00814B15" w:rsidRPr="007A5DA6">
              <w:rPr>
                <w:rFonts w:ascii="Times New Roman" w:hAnsi="Times New Roman" w:cs="Times New Roman"/>
              </w:rPr>
              <w:t>i</w:t>
            </w:r>
            <w:r w:rsidRPr="007A5DA6">
              <w:rPr>
                <w:rFonts w:ascii="Times New Roman" w:hAnsi="Times New Roman" w:cs="Times New Roman"/>
              </w:rPr>
              <w:t>grzysk głuchych</w:t>
            </w:r>
            <w:r w:rsidR="00762EB2" w:rsidRPr="007A5DA6">
              <w:rPr>
                <w:rFonts w:ascii="Times New Roman" w:hAnsi="Times New Roman" w:cs="Times New Roman"/>
              </w:rPr>
              <w:t xml:space="preserve"> i </w:t>
            </w:r>
            <w:r w:rsidR="00814B15" w:rsidRPr="007A5DA6">
              <w:rPr>
                <w:rFonts w:ascii="Times New Roman" w:hAnsi="Times New Roman" w:cs="Times New Roman"/>
              </w:rPr>
              <w:t>o</w:t>
            </w:r>
            <w:r w:rsidR="00762EB2" w:rsidRPr="007A5DA6">
              <w:rPr>
                <w:rFonts w:ascii="Times New Roman" w:hAnsi="Times New Roman" w:cs="Times New Roman"/>
              </w:rPr>
              <w:t xml:space="preserve">limpiad </w:t>
            </w:r>
            <w:r w:rsidR="00814B15" w:rsidRPr="007A5DA6">
              <w:rPr>
                <w:rFonts w:ascii="Times New Roman" w:hAnsi="Times New Roman" w:cs="Times New Roman"/>
              </w:rPr>
              <w:t>specjalnych</w:t>
            </w:r>
            <w:r w:rsidRPr="007A5DA6">
              <w:rPr>
                <w:rFonts w:ascii="Times New Roman" w:hAnsi="Times New Roman" w:cs="Times New Roman"/>
              </w:rPr>
              <w:t xml:space="preserve"> będzie miało pozytywne skutki społeczne, zarówno w kontekście wsparcia sportowców, jak i szerszego odbioru społecznego polityki państwa wobec osób reprezentujących kraj na arenie międzynarodowej.</w:t>
            </w:r>
          </w:p>
          <w:p w14:paraId="548F0430" w14:textId="0270D74A" w:rsidR="004B42BA" w:rsidRPr="007A5DA6" w:rsidRDefault="004B42BA" w:rsidP="00814B15">
            <w:pPr>
              <w:jc w:val="both"/>
              <w:rPr>
                <w:rFonts w:ascii="Times New Roman" w:hAnsi="Times New Roman" w:cs="Times New Roman"/>
              </w:rPr>
            </w:pPr>
            <w:r w:rsidRPr="007A5DA6">
              <w:rPr>
                <w:rFonts w:ascii="Times New Roman" w:hAnsi="Times New Roman" w:cs="Times New Roman"/>
              </w:rPr>
              <w:t xml:space="preserve">Medaliści </w:t>
            </w:r>
            <w:r w:rsidR="00814B15" w:rsidRPr="007A5DA6">
              <w:rPr>
                <w:rFonts w:ascii="Times New Roman" w:hAnsi="Times New Roman" w:cs="Times New Roman"/>
              </w:rPr>
              <w:t>i</w:t>
            </w:r>
            <w:r w:rsidRPr="007A5DA6">
              <w:rPr>
                <w:rFonts w:ascii="Times New Roman" w:hAnsi="Times New Roman" w:cs="Times New Roman"/>
              </w:rPr>
              <w:t>grzysk olimpijskich, paralimpijskich</w:t>
            </w:r>
            <w:r w:rsidR="00814B15" w:rsidRPr="007A5DA6">
              <w:rPr>
                <w:rFonts w:ascii="Times New Roman" w:hAnsi="Times New Roman" w:cs="Times New Roman"/>
              </w:rPr>
              <w:t>,</w:t>
            </w:r>
            <w:r w:rsidRPr="007A5DA6">
              <w:rPr>
                <w:rFonts w:ascii="Times New Roman" w:hAnsi="Times New Roman" w:cs="Times New Roman"/>
              </w:rPr>
              <w:t xml:space="preserve"> igrzysk głuchych</w:t>
            </w:r>
            <w:r w:rsidR="00814B15" w:rsidRPr="007A5DA6">
              <w:rPr>
                <w:rFonts w:ascii="Times New Roman" w:hAnsi="Times New Roman" w:cs="Times New Roman"/>
              </w:rPr>
              <w:t xml:space="preserve"> oraz olimpiad specjalnych</w:t>
            </w:r>
            <w:r w:rsidRPr="007A5DA6">
              <w:rPr>
                <w:rFonts w:ascii="Times New Roman" w:hAnsi="Times New Roman" w:cs="Times New Roman"/>
              </w:rPr>
              <w:t xml:space="preserve"> to osoby, które przez lata poświęcają życie na treningi i rywalizację na najwyższym poziomie, reprezentując Polskę w międzynarodowych zawodach. Uznanie ich osiągnięć poprzez równe traktowanie nagród pieniężnych i rzeczowych w kontekście zwolnień podatkowych będzie stanowić wyraz szacunku dla ich pracy i poświęcenia. Może to również przyczynić się do poprawy wizerunku państwa jako kraju, który docenia swoich sportowców i traktuje ich w sposób sprawiedliwy.</w:t>
            </w:r>
          </w:p>
          <w:p w14:paraId="4232775C" w14:textId="77777777" w:rsidR="004B42BA" w:rsidRPr="007A5DA6" w:rsidRDefault="004B42BA" w:rsidP="00814B15">
            <w:pPr>
              <w:jc w:val="both"/>
              <w:rPr>
                <w:rFonts w:ascii="Times New Roman" w:hAnsi="Times New Roman" w:cs="Times New Roman"/>
              </w:rPr>
            </w:pPr>
            <w:r w:rsidRPr="007A5DA6">
              <w:rPr>
                <w:rFonts w:ascii="Times New Roman" w:hAnsi="Times New Roman" w:cs="Times New Roman"/>
              </w:rPr>
              <w:t>Społeczeństwo często utożsamia się z sukcesami sportowców i traktuje je jako powód do dumy narodowej. Zniesienie opodatkowania nagród rzeczowych będzie odbierane jako działanie sprzyjające rozwojowi polskiego sportu i wsparcie dla jego czołowych przedstawicieli. W efekcie może to zwiększyć zainteresowanie sportem oraz zachęcić do większego zaangażowania zarówno na poziomie amatorskim, jak i profesjonalnym.</w:t>
            </w:r>
          </w:p>
          <w:p w14:paraId="6E47F844" w14:textId="77777777" w:rsidR="004B42BA" w:rsidRPr="007A5DA6" w:rsidRDefault="004B42BA" w:rsidP="00814B15">
            <w:pPr>
              <w:jc w:val="both"/>
              <w:rPr>
                <w:rFonts w:ascii="Times New Roman" w:hAnsi="Times New Roman" w:cs="Times New Roman"/>
              </w:rPr>
            </w:pPr>
            <w:r w:rsidRPr="007A5DA6">
              <w:rPr>
                <w:rFonts w:ascii="Times New Roman" w:hAnsi="Times New Roman" w:cs="Times New Roman"/>
              </w:rPr>
              <w:t>Jednym z kluczowych aspektów nowelizacji jest jej wpływ na postrzeganie sprawiedliwości systemu podatkowego. Obecna sytuacja, w której nagrody pieniężne są zwolnione z podatku, a rzeczowe nie, budzi wątpliwości co do spójności regulacji i sprawiedliwości ich stosowania. Wprowadzenie jednolitych zasad w tym zakresie może zwiększyć zaufanie obywateli do państwa i jego instytucji.</w:t>
            </w:r>
          </w:p>
          <w:p w14:paraId="1F849596" w14:textId="5E1CEF7B" w:rsidR="004B42BA" w:rsidRPr="007A5DA6" w:rsidRDefault="004B42BA" w:rsidP="00814B15">
            <w:pPr>
              <w:jc w:val="both"/>
              <w:rPr>
                <w:rFonts w:ascii="Times New Roman" w:hAnsi="Times New Roman" w:cs="Times New Roman"/>
              </w:rPr>
            </w:pPr>
            <w:r w:rsidRPr="007A5DA6">
              <w:rPr>
                <w:rFonts w:ascii="Times New Roman" w:hAnsi="Times New Roman" w:cs="Times New Roman"/>
              </w:rPr>
              <w:t>Objęcie zwolnieniem podatkowym nagród rzeczowych przyznawanych nie tylko medalistom igrzysk olimpijskich, ale również paralimpijskich</w:t>
            </w:r>
            <w:r w:rsidR="00814B15" w:rsidRPr="007A5DA6">
              <w:rPr>
                <w:rFonts w:ascii="Times New Roman" w:hAnsi="Times New Roman" w:cs="Times New Roman"/>
              </w:rPr>
              <w:t xml:space="preserve">, </w:t>
            </w:r>
            <w:r w:rsidRPr="007A5DA6">
              <w:rPr>
                <w:rFonts w:ascii="Times New Roman" w:hAnsi="Times New Roman" w:cs="Times New Roman"/>
              </w:rPr>
              <w:t>igrzysk głuchych</w:t>
            </w:r>
            <w:r w:rsidR="00814B15" w:rsidRPr="007A5DA6">
              <w:rPr>
                <w:rFonts w:ascii="Times New Roman" w:hAnsi="Times New Roman" w:cs="Times New Roman"/>
              </w:rPr>
              <w:t xml:space="preserve"> oraz olimpiad specjalnych</w:t>
            </w:r>
            <w:r w:rsidRPr="007A5DA6">
              <w:rPr>
                <w:rFonts w:ascii="Times New Roman" w:hAnsi="Times New Roman" w:cs="Times New Roman"/>
              </w:rPr>
              <w:t>, będzie ważnym krokiem w kierunku równego traktowania wszystkich sportowców, niezależnie od poziomu sprawności fizycznej. To działanie może być postrzegane jako wyraz solidarności społecznej i wsparcia dla sportowców z niepełnosprawnościami, którzy również zasługują na pełne uznanie za swoje osiągnięcia.</w:t>
            </w:r>
          </w:p>
          <w:p w14:paraId="51C0E336" w14:textId="694B8301" w:rsidR="00B378FA" w:rsidRPr="007A5DA6" w:rsidRDefault="004B42BA" w:rsidP="00814B15">
            <w:pPr>
              <w:jc w:val="both"/>
              <w:rPr>
                <w:rFonts w:ascii="Times New Roman" w:hAnsi="Times New Roman" w:cs="Times New Roman"/>
              </w:rPr>
            </w:pPr>
            <w:r w:rsidRPr="007A5DA6">
              <w:rPr>
                <w:rFonts w:ascii="Times New Roman" w:hAnsi="Times New Roman" w:cs="Times New Roman"/>
              </w:rPr>
              <w:t>Projektowane zmiany przyniosą szereg pozytywnych skutków społecznych, które obejmą zarówno sportowców, jak i szerokie grono obywateli. Ujednolicenie przepisów zwiększy prestiż medalistów, zmotywuje przyszłe pokolenia do zaangażowania w sport, poprawi społeczne postrzeganie sprawiedliwości systemu podatkowego oraz wzmocni integrację społeczną poprzez równe traktowanie wszystkich grup sportowców. Jest to krok w stronę budowy bardziej sprawiedliwego i wspierającego sport państwa, co może w dłuższej perspektywie przyczynić się do rozwoju polskiego sportu na wszystkich poziomach.</w:t>
            </w:r>
          </w:p>
        </w:tc>
      </w:tr>
    </w:tbl>
    <w:p w14:paraId="01D12A75" w14:textId="77777777" w:rsidR="004B42BA" w:rsidRPr="007A5DA6" w:rsidRDefault="004B42BA" w:rsidP="004B42BA">
      <w:pPr>
        <w:jc w:val="both"/>
        <w:rPr>
          <w:rFonts w:ascii="Times New Roman" w:hAnsi="Times New Roman" w:cs="Times New Roman"/>
        </w:rPr>
      </w:pPr>
    </w:p>
    <w:p w14:paraId="505678E2"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[5] Jakie są przewidywane skutki gospodarcze projektowanych rozwiązań?</w:t>
      </w:r>
    </w:p>
    <w:p w14:paraId="6AA586E4" w14:textId="4ED4052A" w:rsidR="00465A2A" w:rsidRPr="007A5DA6" w:rsidRDefault="00C11B26" w:rsidP="00465A2A">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sidRPr="007A5DA6">
        <w:rPr>
          <w:rFonts w:ascii="Times New Roman" w:hAnsi="Times New Roman" w:cs="Times New Roman"/>
        </w:rPr>
        <w:t xml:space="preserve">Projekt nie wywołuje skutków gospodarczych i nie ma wpływu na mikroprzedsiębiorców oraz małych i średnich przedsiębiorców. </w:t>
      </w:r>
    </w:p>
    <w:p w14:paraId="0AD16444" w14:textId="10ED9BDA" w:rsidR="00B378FA" w:rsidRPr="007A5DA6" w:rsidRDefault="004B42BA" w:rsidP="004B42BA">
      <w:pPr>
        <w:pBdr>
          <w:top w:val="single" w:sz="4" w:space="1" w:color="auto"/>
          <w:left w:val="single" w:sz="4" w:space="0" w:color="auto"/>
          <w:bottom w:val="single" w:sz="4" w:space="1" w:color="auto"/>
          <w:right w:val="single" w:sz="4" w:space="4" w:color="auto"/>
        </w:pBdr>
        <w:jc w:val="both"/>
        <w:rPr>
          <w:rFonts w:ascii="Times New Roman" w:hAnsi="Times New Roman" w:cs="Times New Roman"/>
        </w:rPr>
      </w:pPr>
      <w:r w:rsidRPr="007A5DA6">
        <w:rPr>
          <w:rFonts w:ascii="Times New Roman" w:hAnsi="Times New Roman" w:cs="Times New Roman"/>
        </w:rPr>
        <w:t xml:space="preserve">Ponadto potencjalne korzyści wynikające </w:t>
      </w:r>
      <w:r w:rsidR="00465A2A" w:rsidRPr="007A5DA6">
        <w:rPr>
          <w:rFonts w:ascii="Times New Roman" w:hAnsi="Times New Roman" w:cs="Times New Roman"/>
        </w:rPr>
        <w:t xml:space="preserve">ze </w:t>
      </w:r>
      <w:r w:rsidRPr="007A5DA6">
        <w:rPr>
          <w:rFonts w:ascii="Times New Roman" w:hAnsi="Times New Roman" w:cs="Times New Roman"/>
        </w:rPr>
        <w:t>zwiększonego zainteresowania sportem mogą w dłuższym okresie przynieść pozytywne skutki gospodarcze, które zrekompensują tę stratę.</w:t>
      </w:r>
      <w:r w:rsidR="00465A2A" w:rsidRPr="007A5DA6">
        <w:rPr>
          <w:rFonts w:ascii="Times New Roman" w:hAnsi="Times New Roman" w:cs="Times New Roman"/>
        </w:rPr>
        <w:t xml:space="preserve"> </w:t>
      </w:r>
      <w:r w:rsidRPr="007A5DA6">
        <w:rPr>
          <w:rFonts w:ascii="Times New Roman" w:hAnsi="Times New Roman" w:cs="Times New Roman"/>
        </w:rPr>
        <w:t xml:space="preserve">Chociaż krótkoterminowo może wiązać się z niewielkim spadkiem wpływów podatkowych, w dłuższej perspektywie korzyści </w:t>
      </w:r>
      <w:r w:rsidRPr="007A5DA6">
        <w:rPr>
          <w:rFonts w:ascii="Times New Roman" w:hAnsi="Times New Roman" w:cs="Times New Roman"/>
        </w:rPr>
        <w:lastRenderedPageBreak/>
        <w:t xml:space="preserve">wynikające z większego zaangażowania sponsorów i rozwoju rynku sportowego mogą przewyższyć ewentualne straty budżetowe. </w:t>
      </w:r>
    </w:p>
    <w:p w14:paraId="212D6696" w14:textId="77777777" w:rsidR="004B42BA" w:rsidRPr="007A5DA6" w:rsidRDefault="004B42BA" w:rsidP="004B42BA">
      <w:pPr>
        <w:jc w:val="both"/>
        <w:rPr>
          <w:rFonts w:ascii="Times New Roman" w:hAnsi="Times New Roman" w:cs="Times New Roman"/>
        </w:rPr>
      </w:pPr>
    </w:p>
    <w:p w14:paraId="65C53B5E"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[6] Jakie są przewidywane skutki finansowe projektowanych rozwiązań, w szczególności wpływ na sektor finansów publicznych, w tym na budżet państwa i budżety jednostek samorządu terytorialnego?</w:t>
      </w:r>
    </w:p>
    <w:tbl>
      <w:tblPr>
        <w:tblStyle w:val="Tabela-Siatka"/>
        <w:tblW w:w="9493" w:type="dxa"/>
        <w:tblLook w:val="04A0" w:firstRow="1" w:lastRow="0" w:firstColumn="1" w:lastColumn="0" w:noHBand="0" w:noVBand="1"/>
      </w:tblPr>
      <w:tblGrid>
        <w:gridCol w:w="9493"/>
      </w:tblGrid>
      <w:tr w:rsidR="004B42BA" w:rsidRPr="007A5DA6" w14:paraId="3409FB17" w14:textId="77777777" w:rsidTr="00465A2A">
        <w:tc>
          <w:tcPr>
            <w:tcW w:w="9493" w:type="dxa"/>
          </w:tcPr>
          <w:p w14:paraId="50A76BB2" w14:textId="1E0046DE" w:rsidR="00465A2A" w:rsidRPr="007A5DA6" w:rsidRDefault="004B42BA" w:rsidP="00465A2A">
            <w:pPr>
              <w:jc w:val="both"/>
              <w:rPr>
                <w:rFonts w:ascii="Times New Roman" w:hAnsi="Times New Roman" w:cs="Times New Roman"/>
              </w:rPr>
            </w:pPr>
            <w:r w:rsidRPr="007A5DA6">
              <w:rPr>
                <w:rFonts w:ascii="Times New Roman" w:hAnsi="Times New Roman" w:cs="Times New Roman"/>
              </w:rPr>
              <w:t>Wprowadzenie zwolnienia z opodatkowania nagród rzeczowych przyznawanych medalistom igrzysk olimpijskich, paralimpijskich</w:t>
            </w:r>
            <w:r w:rsidR="00465A2A" w:rsidRPr="007A5DA6">
              <w:rPr>
                <w:rFonts w:ascii="Times New Roman" w:hAnsi="Times New Roman" w:cs="Times New Roman"/>
              </w:rPr>
              <w:t>,</w:t>
            </w:r>
            <w:r w:rsidRPr="007A5DA6">
              <w:rPr>
                <w:rFonts w:ascii="Times New Roman" w:hAnsi="Times New Roman" w:cs="Times New Roman"/>
              </w:rPr>
              <w:t xml:space="preserve"> igrzysk głuchych</w:t>
            </w:r>
            <w:r w:rsidR="00465A2A" w:rsidRPr="007A5DA6">
              <w:rPr>
                <w:rFonts w:ascii="Times New Roman" w:hAnsi="Times New Roman" w:cs="Times New Roman"/>
              </w:rPr>
              <w:t xml:space="preserve"> oraz olimpiad specjalnych</w:t>
            </w:r>
            <w:r w:rsidRPr="007A5DA6">
              <w:rPr>
                <w:rFonts w:ascii="Times New Roman" w:hAnsi="Times New Roman" w:cs="Times New Roman"/>
              </w:rPr>
              <w:t xml:space="preserve"> </w:t>
            </w:r>
            <w:r w:rsidR="00465A2A" w:rsidRPr="007A5DA6">
              <w:rPr>
                <w:rFonts w:ascii="Times New Roman" w:hAnsi="Times New Roman" w:cs="Times New Roman"/>
              </w:rPr>
              <w:t>oznacza, że państwo zrezygnuje z pobierania części dochodów wynikających z ich opodatkowania, lecz przy skali potencjalnych zwolnień</w:t>
            </w:r>
            <w:r w:rsidR="00731193" w:rsidRPr="007A5DA6">
              <w:rPr>
                <w:rFonts w:ascii="Times New Roman" w:hAnsi="Times New Roman" w:cs="Times New Roman"/>
              </w:rPr>
              <w:t xml:space="preserve"> podatkowych</w:t>
            </w:r>
            <w:r w:rsidR="00465A2A" w:rsidRPr="007A5DA6">
              <w:rPr>
                <w:rFonts w:ascii="Times New Roman" w:hAnsi="Times New Roman" w:cs="Times New Roman"/>
              </w:rPr>
              <w:t xml:space="preserve"> </w:t>
            </w:r>
            <w:r w:rsidRPr="007A5DA6">
              <w:rPr>
                <w:rFonts w:ascii="Times New Roman" w:hAnsi="Times New Roman" w:cs="Times New Roman"/>
              </w:rPr>
              <w:t xml:space="preserve">będzie miało </w:t>
            </w:r>
            <w:r w:rsidR="00465A2A" w:rsidRPr="007A5DA6">
              <w:rPr>
                <w:rFonts w:ascii="Times New Roman" w:hAnsi="Times New Roman" w:cs="Times New Roman"/>
              </w:rPr>
              <w:t xml:space="preserve">nieznaczący </w:t>
            </w:r>
            <w:r w:rsidRPr="007A5DA6">
              <w:rPr>
                <w:rFonts w:ascii="Times New Roman" w:hAnsi="Times New Roman" w:cs="Times New Roman"/>
              </w:rPr>
              <w:t>wpływ na sektor finansów publicznych</w:t>
            </w:r>
            <w:r w:rsidR="00731193" w:rsidRPr="007A5DA6">
              <w:rPr>
                <w:rFonts w:ascii="Times New Roman" w:hAnsi="Times New Roman" w:cs="Times New Roman"/>
              </w:rPr>
              <w:t xml:space="preserve"> (</w:t>
            </w:r>
            <w:r w:rsidRPr="007A5DA6">
              <w:rPr>
                <w:rFonts w:ascii="Times New Roman" w:hAnsi="Times New Roman" w:cs="Times New Roman"/>
              </w:rPr>
              <w:t xml:space="preserve">budżet państwa </w:t>
            </w:r>
            <w:r w:rsidR="00731193" w:rsidRPr="007A5DA6">
              <w:rPr>
                <w:rFonts w:ascii="Times New Roman" w:hAnsi="Times New Roman" w:cs="Times New Roman"/>
              </w:rPr>
              <w:t xml:space="preserve">oraz </w:t>
            </w:r>
            <w:r w:rsidRPr="007A5DA6">
              <w:rPr>
                <w:rFonts w:ascii="Times New Roman" w:hAnsi="Times New Roman" w:cs="Times New Roman"/>
              </w:rPr>
              <w:t>budżety jednostek samorządu terytorialnego</w:t>
            </w:r>
            <w:r w:rsidR="00731193" w:rsidRPr="007A5DA6">
              <w:rPr>
                <w:rFonts w:ascii="Times New Roman" w:hAnsi="Times New Roman" w:cs="Times New Roman"/>
              </w:rPr>
              <w:t>)</w:t>
            </w:r>
            <w:r w:rsidRPr="007A5DA6">
              <w:rPr>
                <w:rFonts w:ascii="Times New Roman" w:hAnsi="Times New Roman" w:cs="Times New Roman"/>
              </w:rPr>
              <w:t xml:space="preserve">. </w:t>
            </w:r>
          </w:p>
          <w:p w14:paraId="394C0288" w14:textId="0680AF8C" w:rsidR="00B378FA" w:rsidRPr="007A5DA6" w:rsidRDefault="00731193" w:rsidP="00731193">
            <w:pPr>
              <w:jc w:val="both"/>
              <w:rPr>
                <w:rFonts w:ascii="Times New Roman" w:hAnsi="Times New Roman" w:cs="Times New Roman"/>
              </w:rPr>
            </w:pPr>
            <w:r w:rsidRPr="007A5DA6">
              <w:rPr>
                <w:rFonts w:ascii="Times New Roman" w:hAnsi="Times New Roman" w:cs="Times New Roman"/>
              </w:rPr>
              <w:t>B</w:t>
            </w:r>
            <w:r w:rsidR="00465A2A" w:rsidRPr="007A5DA6">
              <w:rPr>
                <w:rFonts w:ascii="Times New Roman" w:hAnsi="Times New Roman" w:cs="Times New Roman"/>
              </w:rPr>
              <w:t>iorąc pod uwagę fakt, że liczba medalistów igrzysk olimpijskich, paralimpijskich, igrzysk głuchych oraz olimpiad specjalnych jest ograniczona, skala tej zmiany w kontekście wpływów podatkowych będzie niezauważalna.</w:t>
            </w:r>
          </w:p>
        </w:tc>
      </w:tr>
    </w:tbl>
    <w:p w14:paraId="7DF27978" w14:textId="77777777" w:rsidR="004B42BA" w:rsidRPr="007A5DA6" w:rsidRDefault="004B42BA" w:rsidP="004B42BA">
      <w:pPr>
        <w:jc w:val="both"/>
        <w:rPr>
          <w:rFonts w:ascii="Times New Roman" w:hAnsi="Times New Roman" w:cs="Times New Roman"/>
        </w:rPr>
      </w:pPr>
    </w:p>
    <w:p w14:paraId="5A2AE1CF"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[7] Wykaz źródeł finansowania, jeśli projekt ustawy pociąga za sobą obciążenie budżetu państwa lub budżetów jednostek samorządu terytorialnego.</w:t>
      </w:r>
    </w:p>
    <w:tbl>
      <w:tblPr>
        <w:tblStyle w:val="Tabela-Siatka"/>
        <w:tblW w:w="9493" w:type="dxa"/>
        <w:tblLook w:val="04A0" w:firstRow="1" w:lastRow="0" w:firstColumn="1" w:lastColumn="0" w:noHBand="0" w:noVBand="1"/>
      </w:tblPr>
      <w:tblGrid>
        <w:gridCol w:w="9493"/>
      </w:tblGrid>
      <w:tr w:rsidR="004B42BA" w:rsidRPr="007A5DA6" w14:paraId="07EF10ED" w14:textId="77777777" w:rsidTr="00465A2A">
        <w:tc>
          <w:tcPr>
            <w:tcW w:w="9493" w:type="dxa"/>
          </w:tcPr>
          <w:p w14:paraId="52865EC8" w14:textId="11DB4DED" w:rsidR="00B378FA" w:rsidRPr="007A5DA6" w:rsidRDefault="00731193" w:rsidP="00731193">
            <w:pPr>
              <w:jc w:val="both"/>
              <w:rPr>
                <w:rFonts w:ascii="Times New Roman" w:hAnsi="Times New Roman" w:cs="Times New Roman"/>
              </w:rPr>
            </w:pPr>
            <w:r w:rsidRPr="007A5DA6">
              <w:rPr>
                <w:rFonts w:ascii="Times New Roman" w:hAnsi="Times New Roman" w:cs="Times New Roman"/>
              </w:rPr>
              <w:t xml:space="preserve">Projekt ustawy nie pociąga za sobą obciążenia budżetu państwa lub budżetów jednostek samorządu terytorialnego. </w:t>
            </w:r>
          </w:p>
        </w:tc>
      </w:tr>
    </w:tbl>
    <w:p w14:paraId="796907A5" w14:textId="77777777" w:rsidR="004B42BA" w:rsidRPr="007A5DA6" w:rsidRDefault="004B42BA" w:rsidP="004B42BA">
      <w:pPr>
        <w:jc w:val="both"/>
        <w:rPr>
          <w:rFonts w:ascii="Times New Roman" w:hAnsi="Times New Roman" w:cs="Times New Roman"/>
        </w:rPr>
      </w:pPr>
    </w:p>
    <w:p w14:paraId="4D5743F2" w14:textId="77777777" w:rsidR="004B42BA" w:rsidRPr="007A5DA6" w:rsidRDefault="004B42BA" w:rsidP="004B42BA">
      <w:pPr>
        <w:rPr>
          <w:rFonts w:ascii="Times New Roman" w:hAnsi="Times New Roman" w:cs="Times New Roman"/>
        </w:rPr>
      </w:pPr>
      <w:r w:rsidRPr="007A5DA6">
        <w:rPr>
          <w:rFonts w:ascii="Times New Roman" w:hAnsi="Times New Roman" w:cs="Times New Roman"/>
        </w:rPr>
        <w:t xml:space="preserve">[8] Czy projekt ustawy podlega procedurze notyfikacyjnej? </w:t>
      </w:r>
    </w:p>
    <w:p w14:paraId="27D67042" w14:textId="77777777" w:rsidR="004B42BA" w:rsidRPr="007A5DA6" w:rsidRDefault="004B42BA" w:rsidP="004B42BA">
      <w:pPr>
        <w:pStyle w:val="Akapitzlist"/>
        <w:numPr>
          <w:ilvl w:val="0"/>
          <w:numId w:val="1"/>
        </w:numPr>
        <w:spacing w:after="160" w:line="240" w:lineRule="auto"/>
        <w:jc w:val="both"/>
        <w:rPr>
          <w:rFonts w:ascii="Times New Roman" w:hAnsi="Times New Roman" w:cs="Times New Roman"/>
          <w:b/>
          <w:bCs/>
        </w:rPr>
      </w:pPr>
      <w:r w:rsidRPr="007A5DA6">
        <w:rPr>
          <w:rFonts w:ascii="Times New Roman" w:hAnsi="Times New Roman" w:cs="Times New Roman"/>
          <w:b/>
          <w:bCs/>
        </w:rPr>
        <w:t xml:space="preserve">Nie </w:t>
      </w:r>
    </w:p>
    <w:p w14:paraId="689D698B" w14:textId="77777777" w:rsidR="004B42BA" w:rsidRPr="007A5DA6" w:rsidRDefault="004B42BA" w:rsidP="004B42BA">
      <w:pPr>
        <w:rPr>
          <w:rFonts w:ascii="Times New Roman" w:hAnsi="Times New Roman" w:cs="Times New Roman"/>
          <w:b/>
        </w:rPr>
      </w:pPr>
    </w:p>
    <w:p w14:paraId="79E6E3F7" w14:textId="77777777" w:rsidR="004B42BA" w:rsidRPr="007A5DA6" w:rsidRDefault="004B42BA" w:rsidP="004B42BA">
      <w:pPr>
        <w:rPr>
          <w:rFonts w:ascii="Times New Roman" w:hAnsi="Times New Roman" w:cs="Times New Roman"/>
          <w:b/>
        </w:rPr>
      </w:pPr>
      <w:r w:rsidRPr="007A5DA6">
        <w:rPr>
          <w:rFonts w:ascii="Times New Roman" w:hAnsi="Times New Roman" w:cs="Times New Roman"/>
          <w:b/>
        </w:rPr>
        <w:t xml:space="preserve">III. </w:t>
      </w:r>
      <w:bookmarkStart w:id="3" w:name="_Hlk174441212"/>
      <w:r w:rsidRPr="007A5DA6">
        <w:rPr>
          <w:rFonts w:ascii="Times New Roman" w:hAnsi="Times New Roman" w:cs="Times New Roman"/>
          <w:b/>
        </w:rPr>
        <w:t>Wymogi określone w art. 34 ust. 2a i 2b regulaminu Sejmu</w:t>
      </w:r>
    </w:p>
    <w:p w14:paraId="29C47F35" w14:textId="77777777" w:rsidR="004B42BA" w:rsidRPr="007A5DA6" w:rsidRDefault="004B42BA" w:rsidP="004B42BA">
      <w:pPr>
        <w:rPr>
          <w:rFonts w:ascii="Times New Roman" w:hAnsi="Times New Roman" w:cs="Times New Roman"/>
          <w:b/>
        </w:rPr>
      </w:pPr>
      <w:r w:rsidRPr="007A5DA6">
        <w:rPr>
          <w:rFonts w:ascii="Times New Roman" w:hAnsi="Times New Roman" w:cs="Times New Roman"/>
          <w:b/>
        </w:rPr>
        <w:t xml:space="preserve"> </w:t>
      </w:r>
      <w:bookmarkEnd w:id="3"/>
    </w:p>
    <w:p w14:paraId="7250CD1F"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[9] Czy projekt ustawy zawiera przepisy określające zasady podejmowania, wykonywania lub zakończenia działalności gospodarczej (art. 34 ust. 2a regulaminu Sejmu)?</w:t>
      </w:r>
    </w:p>
    <w:p w14:paraId="20DA194C" w14:textId="77777777" w:rsidR="004B42BA" w:rsidRPr="007A5DA6" w:rsidRDefault="004B42BA" w:rsidP="004B42BA">
      <w:pPr>
        <w:pStyle w:val="Akapitzlist"/>
        <w:numPr>
          <w:ilvl w:val="0"/>
          <w:numId w:val="1"/>
        </w:numPr>
        <w:spacing w:after="160" w:line="240" w:lineRule="auto"/>
        <w:jc w:val="both"/>
        <w:rPr>
          <w:rFonts w:ascii="Times New Roman" w:hAnsi="Times New Roman" w:cs="Times New Roman"/>
          <w:b/>
          <w:bCs/>
        </w:rPr>
      </w:pPr>
      <w:r w:rsidRPr="007A5DA6">
        <w:rPr>
          <w:rFonts w:ascii="Times New Roman" w:hAnsi="Times New Roman" w:cs="Times New Roman"/>
          <w:b/>
          <w:bCs/>
        </w:rPr>
        <w:t>Nie</w:t>
      </w:r>
    </w:p>
    <w:p w14:paraId="6A0935F9" w14:textId="77777777" w:rsidR="004B42BA" w:rsidRPr="007A5DA6" w:rsidRDefault="004B42BA" w:rsidP="004B42BA">
      <w:pPr>
        <w:pStyle w:val="Akapitzlist"/>
        <w:numPr>
          <w:ilvl w:val="0"/>
          <w:numId w:val="1"/>
        </w:numPr>
        <w:spacing w:after="160" w:line="240" w:lineRule="auto"/>
        <w:jc w:val="both"/>
        <w:rPr>
          <w:rFonts w:ascii="Times New Roman" w:hAnsi="Times New Roman" w:cs="Times New Roman"/>
        </w:rPr>
      </w:pPr>
      <w:r w:rsidRPr="007A5DA6">
        <w:rPr>
          <w:rFonts w:ascii="Times New Roman" w:hAnsi="Times New Roman" w:cs="Times New Roman"/>
        </w:rPr>
        <w:t>Tak</w:t>
      </w:r>
    </w:p>
    <w:tbl>
      <w:tblPr>
        <w:tblStyle w:val="Tabela-Siatka"/>
        <w:tblW w:w="9493" w:type="dxa"/>
        <w:tblLook w:val="04A0" w:firstRow="1" w:lastRow="0" w:firstColumn="1" w:lastColumn="0" w:noHBand="0" w:noVBand="1"/>
      </w:tblPr>
      <w:tblGrid>
        <w:gridCol w:w="9493"/>
      </w:tblGrid>
      <w:tr w:rsidR="004B42BA" w:rsidRPr="007A5DA6" w14:paraId="6B40133C" w14:textId="77777777" w:rsidTr="00465A2A">
        <w:tc>
          <w:tcPr>
            <w:tcW w:w="9493" w:type="dxa"/>
          </w:tcPr>
          <w:p w14:paraId="2447A2DF" w14:textId="25493C30" w:rsidR="004B42BA" w:rsidRPr="007A5DA6" w:rsidRDefault="004B42BA" w:rsidP="007C3EE8">
            <w:pPr>
              <w:jc w:val="both"/>
              <w:rPr>
                <w:rFonts w:ascii="Times New Roman" w:hAnsi="Times New Roman" w:cs="Times New Roman"/>
              </w:rPr>
            </w:pPr>
            <w:r w:rsidRPr="007A5DA6">
              <w:rPr>
                <w:rFonts w:ascii="Times New Roman" w:hAnsi="Times New Roman" w:cs="Times New Roman"/>
              </w:rPr>
              <w:t>Projekt ustawy nie zawiera przepisów określających zasady podejmowania, wykonywania lub zakończenia działalności gospodarczej (art. 34 ust. 2a regulaminu Sejmu).</w:t>
            </w:r>
          </w:p>
        </w:tc>
      </w:tr>
    </w:tbl>
    <w:p w14:paraId="142ED6EA" w14:textId="77777777" w:rsidR="004B42BA" w:rsidRPr="007A5DA6" w:rsidRDefault="004B42BA" w:rsidP="004B42BA">
      <w:pPr>
        <w:spacing w:line="240" w:lineRule="auto"/>
        <w:jc w:val="both"/>
        <w:rPr>
          <w:rFonts w:ascii="Times New Roman" w:hAnsi="Times New Roman" w:cs="Times New Roman"/>
        </w:rPr>
      </w:pPr>
    </w:p>
    <w:p w14:paraId="63F79B0F"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[10] Czy wdrożenie projektowanych przepisów spowoduje obciążenia administracyjne mikroprzedsiębiorców, małych i średnich przedsiębiorców (art. 34 ust. 2a regulaminu Sejmu)?</w:t>
      </w:r>
    </w:p>
    <w:p w14:paraId="2D04764D" w14:textId="77777777" w:rsidR="004B42BA" w:rsidRPr="007A5DA6" w:rsidRDefault="004B42BA" w:rsidP="004B42BA">
      <w:pPr>
        <w:pStyle w:val="Akapitzlist"/>
        <w:numPr>
          <w:ilvl w:val="0"/>
          <w:numId w:val="1"/>
        </w:numPr>
        <w:spacing w:after="160" w:line="240" w:lineRule="auto"/>
        <w:jc w:val="both"/>
        <w:rPr>
          <w:rFonts w:ascii="Times New Roman" w:hAnsi="Times New Roman" w:cs="Times New Roman"/>
          <w:b/>
          <w:bCs/>
        </w:rPr>
      </w:pPr>
      <w:r w:rsidRPr="007A5DA6">
        <w:rPr>
          <w:rFonts w:ascii="Times New Roman" w:hAnsi="Times New Roman" w:cs="Times New Roman"/>
          <w:b/>
          <w:bCs/>
        </w:rPr>
        <w:t>Nie</w:t>
      </w:r>
    </w:p>
    <w:p w14:paraId="1F3B385F" w14:textId="77777777" w:rsidR="004B42BA" w:rsidRPr="007A5DA6" w:rsidRDefault="004B42BA" w:rsidP="004B42BA">
      <w:pPr>
        <w:pStyle w:val="Akapitzlist"/>
        <w:numPr>
          <w:ilvl w:val="0"/>
          <w:numId w:val="1"/>
        </w:numPr>
        <w:spacing w:after="160" w:line="240" w:lineRule="auto"/>
        <w:jc w:val="both"/>
        <w:rPr>
          <w:rFonts w:ascii="Times New Roman" w:hAnsi="Times New Roman" w:cs="Times New Roman"/>
        </w:rPr>
      </w:pPr>
      <w:r w:rsidRPr="007A5DA6">
        <w:rPr>
          <w:rFonts w:ascii="Times New Roman" w:hAnsi="Times New Roman" w:cs="Times New Roman"/>
        </w:rPr>
        <w:t>Tak</w:t>
      </w:r>
    </w:p>
    <w:tbl>
      <w:tblPr>
        <w:tblStyle w:val="Tabela-Siatka"/>
        <w:tblW w:w="9493" w:type="dxa"/>
        <w:tblLook w:val="04A0" w:firstRow="1" w:lastRow="0" w:firstColumn="1" w:lastColumn="0" w:noHBand="0" w:noVBand="1"/>
      </w:tblPr>
      <w:tblGrid>
        <w:gridCol w:w="9493"/>
      </w:tblGrid>
      <w:tr w:rsidR="004B42BA" w:rsidRPr="007A5DA6" w14:paraId="5605B92A" w14:textId="77777777" w:rsidTr="00465A2A">
        <w:tc>
          <w:tcPr>
            <w:tcW w:w="9493" w:type="dxa"/>
          </w:tcPr>
          <w:p w14:paraId="1CA08B1E" w14:textId="0596D508" w:rsidR="004B42BA" w:rsidRPr="007A5DA6" w:rsidRDefault="004B42BA" w:rsidP="007C3EE8">
            <w:pPr>
              <w:jc w:val="both"/>
              <w:rPr>
                <w:rFonts w:ascii="Times New Roman" w:hAnsi="Times New Roman" w:cs="Times New Roman"/>
              </w:rPr>
            </w:pPr>
            <w:r w:rsidRPr="007A5DA6">
              <w:rPr>
                <w:rFonts w:ascii="Times New Roman" w:hAnsi="Times New Roman" w:cs="Times New Roman"/>
              </w:rPr>
              <w:t>Wdrożenie projektowanych przepisów nie spowoduje obciążenia administracyjnego mikroprzedsiębiorców, małych i średnich przedsiębiorców (art. 34 ust. 2a regulaminu Sejmu).</w:t>
            </w:r>
          </w:p>
        </w:tc>
      </w:tr>
    </w:tbl>
    <w:p w14:paraId="349D7419" w14:textId="77777777" w:rsidR="004B42BA" w:rsidRPr="007A5DA6" w:rsidRDefault="004B42BA" w:rsidP="004B42BA">
      <w:pPr>
        <w:spacing w:line="240" w:lineRule="auto"/>
        <w:jc w:val="both"/>
        <w:rPr>
          <w:rFonts w:ascii="Times New Roman" w:hAnsi="Times New Roman" w:cs="Times New Roman"/>
        </w:rPr>
      </w:pPr>
    </w:p>
    <w:p w14:paraId="177BB5E1" w14:textId="77777777" w:rsidR="004B42BA" w:rsidRPr="007A5DA6" w:rsidRDefault="004B42BA" w:rsidP="004B42BA">
      <w:pPr>
        <w:jc w:val="both"/>
        <w:rPr>
          <w:rFonts w:ascii="Times New Roman" w:hAnsi="Times New Roman" w:cs="Times New Roman"/>
        </w:rPr>
      </w:pPr>
      <w:r w:rsidRPr="007A5DA6">
        <w:rPr>
          <w:rFonts w:ascii="Times New Roman" w:hAnsi="Times New Roman" w:cs="Times New Roman"/>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7FFD478F" w14:textId="77777777" w:rsidR="004B42BA" w:rsidRPr="007A5DA6" w:rsidRDefault="004B42BA" w:rsidP="004B42BA">
      <w:pPr>
        <w:pStyle w:val="Akapitzlist"/>
        <w:numPr>
          <w:ilvl w:val="0"/>
          <w:numId w:val="2"/>
        </w:numPr>
        <w:spacing w:after="160" w:line="259" w:lineRule="auto"/>
        <w:ind w:left="714" w:hanging="357"/>
        <w:jc w:val="both"/>
        <w:rPr>
          <w:rFonts w:ascii="Times New Roman" w:hAnsi="Times New Roman" w:cs="Times New Roman"/>
          <w:b/>
          <w:bCs/>
        </w:rPr>
      </w:pPr>
      <w:r w:rsidRPr="007A5DA6">
        <w:rPr>
          <w:rFonts w:ascii="Times New Roman" w:hAnsi="Times New Roman" w:cs="Times New Roman"/>
          <w:b/>
          <w:bCs/>
        </w:rPr>
        <w:t xml:space="preserve">Nie </w:t>
      </w:r>
    </w:p>
    <w:p w14:paraId="32AF3C73" w14:textId="77777777" w:rsidR="004B42BA" w:rsidRPr="007A5DA6" w:rsidRDefault="004B42BA" w:rsidP="004B42BA">
      <w:pPr>
        <w:pStyle w:val="Akapitzlist"/>
        <w:numPr>
          <w:ilvl w:val="0"/>
          <w:numId w:val="2"/>
        </w:numPr>
        <w:spacing w:after="160" w:line="259" w:lineRule="auto"/>
        <w:ind w:left="714" w:hanging="357"/>
        <w:rPr>
          <w:rFonts w:ascii="Times New Roman" w:hAnsi="Times New Roman" w:cs="Times New Roman"/>
        </w:rPr>
      </w:pPr>
      <w:r w:rsidRPr="007A5DA6">
        <w:rPr>
          <w:rFonts w:ascii="Times New Roman" w:hAnsi="Times New Roman" w:cs="Times New Roman"/>
        </w:rPr>
        <w:t>Tak</w:t>
      </w:r>
    </w:p>
    <w:tbl>
      <w:tblPr>
        <w:tblStyle w:val="Tabela-Siatka"/>
        <w:tblW w:w="9493" w:type="dxa"/>
        <w:tblLook w:val="04A0" w:firstRow="1" w:lastRow="0" w:firstColumn="1" w:lastColumn="0" w:noHBand="0" w:noVBand="1"/>
      </w:tblPr>
      <w:tblGrid>
        <w:gridCol w:w="9493"/>
      </w:tblGrid>
      <w:tr w:rsidR="004B42BA" w:rsidRPr="007A5DA6" w14:paraId="08B1FCFB" w14:textId="77777777" w:rsidTr="00465A2A">
        <w:tc>
          <w:tcPr>
            <w:tcW w:w="9493" w:type="dxa"/>
          </w:tcPr>
          <w:p w14:paraId="26C9042D" w14:textId="06775459" w:rsidR="004B42BA" w:rsidRPr="007A5DA6" w:rsidRDefault="004B42BA" w:rsidP="007C3EE8">
            <w:pPr>
              <w:jc w:val="both"/>
              <w:rPr>
                <w:rFonts w:ascii="Times New Roman" w:hAnsi="Times New Roman" w:cs="Times New Roman"/>
              </w:rPr>
            </w:pPr>
            <w:r w:rsidRPr="007A5DA6">
              <w:rPr>
                <w:rFonts w:ascii="Times New Roman" w:hAnsi="Times New Roman" w:cs="Times New Roman"/>
              </w:rPr>
              <w:lastRenderedPageBreak/>
              <w:t>Projekt ustawy nie zawiera przepisów regulacyjnych oraz nie określa wymogów dotyczących świadczenia usług transgranicznych w rozumieniu ustawy z dnia 22 grudnia 2015 r. o zasadach uznawania kwalifikacji zawodowych nabytych w państwach członkowskich Unii Europejskiej (art. 34 ust. 2b regulaminu Sejmu).</w:t>
            </w:r>
          </w:p>
        </w:tc>
      </w:tr>
    </w:tbl>
    <w:p w14:paraId="77999431" w14:textId="77777777" w:rsidR="0071620F" w:rsidRPr="007A5DA6" w:rsidRDefault="0071620F">
      <w:pPr>
        <w:rPr>
          <w:rFonts w:ascii="Times New Roman" w:hAnsi="Times New Roman" w:cs="Times New Roman"/>
        </w:rPr>
      </w:pPr>
    </w:p>
    <w:sectPr w:rsidR="0071620F" w:rsidRPr="007A5DA6" w:rsidSect="004B42BA">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4E62" w14:textId="77777777" w:rsidR="00E219E1" w:rsidRDefault="00E219E1" w:rsidP="00993570">
      <w:pPr>
        <w:spacing w:line="240" w:lineRule="auto"/>
      </w:pPr>
      <w:r>
        <w:separator/>
      </w:r>
    </w:p>
  </w:endnote>
  <w:endnote w:type="continuationSeparator" w:id="0">
    <w:p w14:paraId="129C9E7B" w14:textId="77777777" w:rsidR="00E219E1" w:rsidRDefault="00E219E1" w:rsidP="00993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E001" w14:textId="77777777" w:rsidR="00E219E1" w:rsidRDefault="00E219E1" w:rsidP="00993570">
      <w:pPr>
        <w:spacing w:line="240" w:lineRule="auto"/>
      </w:pPr>
      <w:r>
        <w:separator/>
      </w:r>
    </w:p>
  </w:footnote>
  <w:footnote w:type="continuationSeparator" w:id="0">
    <w:p w14:paraId="65551A0C" w14:textId="77777777" w:rsidR="00E219E1" w:rsidRDefault="00E219E1" w:rsidP="009935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62EF"/>
    <w:multiLevelType w:val="multilevel"/>
    <w:tmpl w:val="65E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D3AA1"/>
    <w:multiLevelType w:val="multilevel"/>
    <w:tmpl w:val="0932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3487502">
    <w:abstractNumId w:val="3"/>
  </w:num>
  <w:num w:numId="2" w16cid:durableId="1496339664">
    <w:abstractNumId w:val="2"/>
  </w:num>
  <w:num w:numId="3" w16cid:durableId="1017272322">
    <w:abstractNumId w:val="1"/>
  </w:num>
  <w:num w:numId="4" w16cid:durableId="68124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BA"/>
    <w:rsid w:val="000F6BAB"/>
    <w:rsid w:val="002037CD"/>
    <w:rsid w:val="00397700"/>
    <w:rsid w:val="00465A2A"/>
    <w:rsid w:val="00490FBF"/>
    <w:rsid w:val="004B42BA"/>
    <w:rsid w:val="00625A8F"/>
    <w:rsid w:val="006B794E"/>
    <w:rsid w:val="0071620F"/>
    <w:rsid w:val="00731193"/>
    <w:rsid w:val="00744367"/>
    <w:rsid w:val="00762EB2"/>
    <w:rsid w:val="00791266"/>
    <w:rsid w:val="007A5DA6"/>
    <w:rsid w:val="00814B15"/>
    <w:rsid w:val="00835C10"/>
    <w:rsid w:val="00993570"/>
    <w:rsid w:val="00AB2CBC"/>
    <w:rsid w:val="00AD729C"/>
    <w:rsid w:val="00B378FA"/>
    <w:rsid w:val="00BB7B22"/>
    <w:rsid w:val="00BB7C2B"/>
    <w:rsid w:val="00BE4808"/>
    <w:rsid w:val="00C11B26"/>
    <w:rsid w:val="00D31CC8"/>
    <w:rsid w:val="00D958E1"/>
    <w:rsid w:val="00E219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A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2BA"/>
    <w:pPr>
      <w:spacing w:after="0" w:line="276" w:lineRule="auto"/>
    </w:pPr>
    <w:rPr>
      <w:rFonts w:ascii="Arial" w:eastAsia="Arial" w:hAnsi="Arial" w:cs="Arial"/>
      <w:kern w:val="0"/>
      <w:lang w:eastAsia="pl-PL"/>
      <w14:ligatures w14:val="none"/>
    </w:rPr>
  </w:style>
  <w:style w:type="paragraph" w:styleId="Nagwek1">
    <w:name w:val="heading 1"/>
    <w:basedOn w:val="Normalny"/>
    <w:next w:val="Normalny"/>
    <w:link w:val="Nagwek1Znak"/>
    <w:uiPriority w:val="9"/>
    <w:qFormat/>
    <w:rsid w:val="004B4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B4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B42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B42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B42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B42B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42B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42B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42B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42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B42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B42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B42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B42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B42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B42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B42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B42BA"/>
    <w:rPr>
      <w:rFonts w:eastAsiaTheme="majorEastAsia" w:cstheme="majorBidi"/>
      <w:color w:val="272727" w:themeColor="text1" w:themeTint="D8"/>
    </w:rPr>
  </w:style>
  <w:style w:type="paragraph" w:styleId="Tytu">
    <w:name w:val="Title"/>
    <w:basedOn w:val="Normalny"/>
    <w:next w:val="Normalny"/>
    <w:link w:val="TytuZnak"/>
    <w:uiPriority w:val="10"/>
    <w:qFormat/>
    <w:rsid w:val="004B4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42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B42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B42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42BA"/>
    <w:pPr>
      <w:spacing w:before="160"/>
      <w:jc w:val="center"/>
    </w:pPr>
    <w:rPr>
      <w:i/>
      <w:iCs/>
      <w:color w:val="404040" w:themeColor="text1" w:themeTint="BF"/>
    </w:rPr>
  </w:style>
  <w:style w:type="character" w:customStyle="1" w:styleId="CytatZnak">
    <w:name w:val="Cytat Znak"/>
    <w:basedOn w:val="Domylnaczcionkaakapitu"/>
    <w:link w:val="Cytat"/>
    <w:uiPriority w:val="29"/>
    <w:rsid w:val="004B42BA"/>
    <w:rPr>
      <w:i/>
      <w:iCs/>
      <w:color w:val="404040" w:themeColor="text1" w:themeTint="BF"/>
    </w:rPr>
  </w:style>
  <w:style w:type="paragraph" w:styleId="Akapitzlist">
    <w:name w:val="List Paragraph"/>
    <w:basedOn w:val="Normalny"/>
    <w:uiPriority w:val="34"/>
    <w:qFormat/>
    <w:rsid w:val="004B42BA"/>
    <w:pPr>
      <w:ind w:left="720"/>
      <w:contextualSpacing/>
    </w:pPr>
  </w:style>
  <w:style w:type="character" w:styleId="Wyrnienieintensywne">
    <w:name w:val="Intense Emphasis"/>
    <w:basedOn w:val="Domylnaczcionkaakapitu"/>
    <w:uiPriority w:val="21"/>
    <w:qFormat/>
    <w:rsid w:val="004B42BA"/>
    <w:rPr>
      <w:i/>
      <w:iCs/>
      <w:color w:val="0F4761" w:themeColor="accent1" w:themeShade="BF"/>
    </w:rPr>
  </w:style>
  <w:style w:type="paragraph" w:styleId="Cytatintensywny">
    <w:name w:val="Intense Quote"/>
    <w:basedOn w:val="Normalny"/>
    <w:next w:val="Normalny"/>
    <w:link w:val="CytatintensywnyZnak"/>
    <w:uiPriority w:val="30"/>
    <w:qFormat/>
    <w:rsid w:val="004B4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B42BA"/>
    <w:rPr>
      <w:i/>
      <w:iCs/>
      <w:color w:val="0F4761" w:themeColor="accent1" w:themeShade="BF"/>
    </w:rPr>
  </w:style>
  <w:style w:type="character" w:styleId="Odwoanieintensywne">
    <w:name w:val="Intense Reference"/>
    <w:basedOn w:val="Domylnaczcionkaakapitu"/>
    <w:uiPriority w:val="32"/>
    <w:qFormat/>
    <w:rsid w:val="004B42BA"/>
    <w:rPr>
      <w:b/>
      <w:bCs/>
      <w:smallCaps/>
      <w:color w:val="0F4761" w:themeColor="accent1" w:themeShade="BF"/>
      <w:spacing w:val="5"/>
    </w:rPr>
  </w:style>
  <w:style w:type="table" w:styleId="Tabela-Siatka">
    <w:name w:val="Table Grid"/>
    <w:basedOn w:val="Standardowy"/>
    <w:uiPriority w:val="39"/>
    <w:rsid w:val="004B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B4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B42BA"/>
  </w:style>
  <w:style w:type="character" w:styleId="Pogrubienie">
    <w:name w:val="Strong"/>
    <w:basedOn w:val="Domylnaczcionkaakapitu"/>
    <w:uiPriority w:val="22"/>
    <w:qFormat/>
    <w:rsid w:val="004B42BA"/>
    <w:rPr>
      <w:b/>
      <w:bCs/>
    </w:rPr>
  </w:style>
  <w:style w:type="character" w:styleId="Hipercze">
    <w:name w:val="Hyperlink"/>
    <w:basedOn w:val="Domylnaczcionkaakapitu"/>
    <w:uiPriority w:val="99"/>
    <w:unhideWhenUsed/>
    <w:rsid w:val="004B42BA"/>
    <w:rPr>
      <w:color w:val="467886" w:themeColor="hyperlink"/>
      <w:u w:val="single"/>
    </w:rPr>
  </w:style>
  <w:style w:type="character" w:styleId="UyteHipercze">
    <w:name w:val="FollowedHyperlink"/>
    <w:basedOn w:val="Domylnaczcionkaakapitu"/>
    <w:uiPriority w:val="99"/>
    <w:semiHidden/>
    <w:unhideWhenUsed/>
    <w:rsid w:val="00AB2CBC"/>
    <w:rPr>
      <w:color w:val="96607D" w:themeColor="followedHyperlink"/>
      <w:u w:val="single"/>
    </w:rPr>
  </w:style>
  <w:style w:type="paragraph" w:styleId="Nagwek">
    <w:name w:val="header"/>
    <w:basedOn w:val="Normalny"/>
    <w:link w:val="NagwekZnak"/>
    <w:uiPriority w:val="99"/>
    <w:unhideWhenUsed/>
    <w:rsid w:val="00993570"/>
    <w:pPr>
      <w:tabs>
        <w:tab w:val="center" w:pos="4536"/>
        <w:tab w:val="right" w:pos="9072"/>
      </w:tabs>
      <w:spacing w:line="240" w:lineRule="auto"/>
    </w:pPr>
  </w:style>
  <w:style w:type="character" w:customStyle="1" w:styleId="NagwekZnak">
    <w:name w:val="Nagłówek Znak"/>
    <w:basedOn w:val="Domylnaczcionkaakapitu"/>
    <w:link w:val="Nagwek"/>
    <w:uiPriority w:val="99"/>
    <w:rsid w:val="00993570"/>
    <w:rPr>
      <w:rFonts w:ascii="Arial" w:eastAsia="Arial" w:hAnsi="Arial" w:cs="Arial"/>
      <w:kern w:val="0"/>
      <w:lang w:eastAsia="pl-PL"/>
      <w14:ligatures w14:val="none"/>
    </w:rPr>
  </w:style>
  <w:style w:type="paragraph" w:styleId="Stopka">
    <w:name w:val="footer"/>
    <w:basedOn w:val="Normalny"/>
    <w:link w:val="StopkaZnak"/>
    <w:uiPriority w:val="99"/>
    <w:unhideWhenUsed/>
    <w:rsid w:val="00993570"/>
    <w:pPr>
      <w:tabs>
        <w:tab w:val="center" w:pos="4536"/>
        <w:tab w:val="right" w:pos="9072"/>
      </w:tabs>
      <w:spacing w:line="240" w:lineRule="auto"/>
    </w:pPr>
  </w:style>
  <w:style w:type="character" w:customStyle="1" w:styleId="StopkaZnak">
    <w:name w:val="Stopka Znak"/>
    <w:basedOn w:val="Domylnaczcionkaakapitu"/>
    <w:link w:val="Stopka"/>
    <w:uiPriority w:val="99"/>
    <w:rsid w:val="00993570"/>
    <w:rPr>
      <w:rFonts w:ascii="Arial" w:eastAsia="Arial" w:hAnsi="Arial" w:cs="Arial"/>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2176</Words>
  <Characters>13058</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2025-06-10T10:42:00Z</dcterms:created>
  <dcterms:modified xsi:type="dcterms:W3CDTF">2025-06-10T10:43:00Z</dcterms:modified>
</cp:coreProperties>
</file>